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083036D9-A118-4844-B7A8-C37344CC3C85" style="width:454.55pt;height:401.3pt">
            <v:imagedata r:id="rId9" o:title=""/>
          </v:shape>
        </w:pict>
      </w:r>
    </w:p>
    <w:p>
      <w:pPr>
        <w:rPr>
          <w:noProof/>
          <w:szCs w:val="24"/>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Annexetitre"/>
        <w:rPr>
          <w:noProof/>
        </w:rPr>
      </w:pPr>
      <w:bookmarkStart w:id="0" w:name="_GoBack"/>
      <w:bookmarkEnd w:id="0"/>
      <w:r>
        <w:rPr>
          <w:noProof/>
        </w:rPr>
        <w:lastRenderedPageBreak/>
        <w:t xml:space="preserve">ANNEX </w:t>
      </w:r>
    </w:p>
    <w:p>
      <w:pPr>
        <w:pStyle w:val="NormalCentered"/>
        <w:jc w:val="both"/>
        <w:rPr>
          <w:b/>
          <w:noProof/>
          <w:szCs w:val="24"/>
        </w:rPr>
      </w:pPr>
    </w:p>
    <w:p>
      <w:pPr>
        <w:pStyle w:val="NormalCentered"/>
        <w:rPr>
          <w:b/>
          <w:noProof/>
        </w:rPr>
      </w:pPr>
      <w:r>
        <w:rPr>
          <w:b/>
          <w:noProof/>
        </w:rPr>
        <w:t>STANDARD CONTRACTUAL CLAUSES</w:t>
      </w:r>
    </w:p>
    <w:p>
      <w:pPr>
        <w:pStyle w:val="NormalCentered"/>
        <w:jc w:val="both"/>
        <w:rPr>
          <w:b/>
          <w:noProof/>
          <w:szCs w:val="24"/>
        </w:rPr>
      </w:pPr>
    </w:p>
    <w:p>
      <w:pPr>
        <w:pStyle w:val="NormalCentered"/>
        <w:rPr>
          <w:b/>
          <w:noProof/>
          <w:u w:val="single"/>
        </w:rPr>
      </w:pPr>
      <w:r>
        <w:rPr>
          <w:b/>
          <w:noProof/>
          <w:u w:val="single"/>
        </w:rPr>
        <w:t>SECTION I</w:t>
      </w:r>
    </w:p>
    <w:p>
      <w:pPr>
        <w:pStyle w:val="Titrearticle"/>
        <w:rPr>
          <w:noProof/>
        </w:rPr>
      </w:pPr>
      <w:r>
        <w:rPr>
          <w:noProof/>
        </w:rPr>
        <w:t>Clause 1</w:t>
      </w:r>
    </w:p>
    <w:p>
      <w:pPr>
        <w:pStyle w:val="Titrearticle"/>
        <w:spacing w:after="240"/>
        <w:rPr>
          <w:b/>
          <w:noProof/>
        </w:rPr>
      </w:pPr>
      <w:r>
        <w:rPr>
          <w:b/>
          <w:noProof/>
        </w:rPr>
        <w:t xml:space="preserve">Purpose and scope </w:t>
      </w:r>
    </w:p>
    <w:p>
      <w:pPr>
        <w:pStyle w:val="Point0"/>
        <w:rPr>
          <w:noProof/>
        </w:rPr>
      </w:pPr>
      <w:r>
        <w:t>(a)</w:t>
      </w:r>
      <w:r>
        <w:tab/>
      </w:r>
      <w:r>
        <w:rPr>
          <w:noProof/>
        </w:rPr>
        <w:t>The purpose of these Standard Contractual Clauses (the Clauses) is to ensure compliance with [choose relevant option: OPTION 1: Article 28(3) and (4) of Regulation (EU) 2016/679 of the European Parliament and of the Council of 27 April 2016 on the protection of natural persons with regard to the processing of personal data and on the free movement of such data] /  [OPTION 2: Article 29(3) and (4) of Regulation (EU) 2018/1725 of the European Parliament and of the Council of 23 October 2018 on the protection of natural persons with regard to the processing of personal data by the Union institutions, bodies, offices and agencies and on the free movement of such data].</w:t>
      </w:r>
    </w:p>
    <w:p>
      <w:pPr>
        <w:pStyle w:val="Point0"/>
        <w:rPr>
          <w:noProof/>
        </w:rPr>
      </w:pPr>
      <w:r>
        <w:t>(b)</w:t>
      </w:r>
      <w:r>
        <w:tab/>
      </w:r>
      <w:r>
        <w:rPr>
          <w:noProof/>
        </w:rPr>
        <w:t xml:space="preserve">The controllers and processors listed in Annex I have agreed to these Clauses in order to ensure compliance with Article 28(3) and (4) of Regulation (EU) 2016/679 and/or Article 29 (3) and (4) Regulation (EU) 2018/1725. </w:t>
      </w:r>
    </w:p>
    <w:p>
      <w:pPr>
        <w:pStyle w:val="Point0"/>
        <w:rPr>
          <w:noProof/>
        </w:rPr>
      </w:pPr>
      <w:r>
        <w:t>(c)</w:t>
      </w:r>
      <w:r>
        <w:tab/>
      </w:r>
      <w:r>
        <w:rPr>
          <w:noProof/>
        </w:rPr>
        <w:t>These Clauses apply to the processing of personal data as specified in Annex II.</w:t>
      </w:r>
    </w:p>
    <w:p>
      <w:pPr>
        <w:pStyle w:val="Point0"/>
        <w:rPr>
          <w:noProof/>
        </w:rPr>
      </w:pPr>
      <w:r>
        <w:t>(d)</w:t>
      </w:r>
      <w:r>
        <w:tab/>
      </w:r>
      <w:r>
        <w:rPr>
          <w:noProof/>
        </w:rPr>
        <w:t>Annexes I to IV are an integral part of the Clauses.</w:t>
      </w:r>
    </w:p>
    <w:p>
      <w:pPr>
        <w:pStyle w:val="Point0"/>
        <w:rPr>
          <w:noProof/>
        </w:rPr>
      </w:pPr>
      <w:r>
        <w:t>(e)</w:t>
      </w:r>
      <w:r>
        <w:tab/>
      </w:r>
      <w:r>
        <w:rPr>
          <w:noProof/>
        </w:rPr>
        <w:t xml:space="preserve">These Clauses are without prejudice to obligations to which the controller is subject by virtue of Regulation (EU) 2016/679 and/or Regulation (EU) 2018/1725. </w:t>
      </w:r>
    </w:p>
    <w:p>
      <w:pPr>
        <w:pStyle w:val="Point0"/>
        <w:rPr>
          <w:noProof/>
        </w:rPr>
      </w:pPr>
      <w:r>
        <w:t>(f)</w:t>
      </w:r>
      <w:r>
        <w:tab/>
      </w:r>
      <w:r>
        <w:rPr>
          <w:noProof/>
        </w:rPr>
        <w:t>These Clauses do not by themselves ensure compliance with obligations related to international transfers in accordance with Chapter V of Regulation (EU) 2016/679 and/or Regulation (EU) 2018/1725.</w:t>
      </w:r>
    </w:p>
    <w:p>
      <w:pPr>
        <w:pStyle w:val="Titrearticle"/>
        <w:rPr>
          <w:noProof/>
        </w:rPr>
      </w:pPr>
      <w:r>
        <w:rPr>
          <w:noProof/>
        </w:rPr>
        <w:t xml:space="preserve">Clause 2 </w:t>
      </w:r>
    </w:p>
    <w:p>
      <w:pPr>
        <w:pStyle w:val="Titrearticle"/>
        <w:rPr>
          <w:b/>
          <w:noProof/>
        </w:rPr>
      </w:pPr>
      <w:r>
        <w:rPr>
          <w:b/>
          <w:noProof/>
        </w:rPr>
        <w:t xml:space="preserve">Invariability of the Clauses </w:t>
      </w:r>
    </w:p>
    <w:p>
      <w:pPr>
        <w:pStyle w:val="Point0"/>
        <w:rPr>
          <w:noProof/>
        </w:rPr>
      </w:pPr>
      <w:r>
        <w:t>(a)</w:t>
      </w:r>
      <w:r>
        <w:tab/>
      </w:r>
      <w:r>
        <w:rPr>
          <w:noProof/>
        </w:rPr>
        <w:t xml:space="preserve">The Parties undertake not to modify the Clauses, except for adding information to the Annexes or updating information in them. </w:t>
      </w:r>
    </w:p>
    <w:p>
      <w:pPr>
        <w:pStyle w:val="Point0"/>
        <w:rPr>
          <w:noProof/>
        </w:rPr>
      </w:pPr>
      <w:r>
        <w:t>(b)</w:t>
      </w:r>
      <w:r>
        <w:tab/>
      </w:r>
      <w:r>
        <w:rPr>
          <w:noProof/>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pPr>
        <w:pStyle w:val="Titrearticle"/>
        <w:rPr>
          <w:noProof/>
        </w:rPr>
      </w:pPr>
      <w:r>
        <w:rPr>
          <w:noProof/>
        </w:rPr>
        <w:t>Clause 3</w:t>
      </w:r>
    </w:p>
    <w:p>
      <w:pPr>
        <w:pStyle w:val="Titrearticle"/>
        <w:rPr>
          <w:b/>
          <w:noProof/>
        </w:rPr>
      </w:pPr>
      <w:r>
        <w:rPr>
          <w:b/>
          <w:noProof/>
        </w:rPr>
        <w:t>Interpretation</w:t>
      </w:r>
    </w:p>
    <w:p>
      <w:pPr>
        <w:pStyle w:val="Point0"/>
        <w:rPr>
          <w:noProof/>
        </w:rPr>
      </w:pPr>
      <w:r>
        <w:t>(a)</w:t>
      </w:r>
      <w:r>
        <w:tab/>
      </w:r>
      <w:r>
        <w:rPr>
          <w:noProof/>
        </w:rPr>
        <w:t>Where these Clauses use the terms defined in Regulation (EU) 2016/679 or Regulation (EU) 2018/1725 respectively, those terms shall have the same meaning as in that Regulation.</w:t>
      </w:r>
    </w:p>
    <w:p>
      <w:pPr>
        <w:pStyle w:val="Point0"/>
        <w:rPr>
          <w:noProof/>
        </w:rPr>
      </w:pPr>
      <w:r>
        <w:t>(b)</w:t>
      </w:r>
      <w:r>
        <w:tab/>
      </w:r>
      <w:r>
        <w:rPr>
          <w:noProof/>
        </w:rPr>
        <w:t>These Clauses shall be read and interpreted in the light of the provisions of Regulation (EU) 2016/679 or Regulation (EU) 2018/1725 respectively.</w:t>
      </w:r>
    </w:p>
    <w:p>
      <w:pPr>
        <w:pStyle w:val="Point0"/>
        <w:rPr>
          <w:noProof/>
        </w:rPr>
      </w:pPr>
      <w:r>
        <w:t>(c)</w:t>
      </w:r>
      <w:r>
        <w:tab/>
      </w:r>
      <w:r>
        <w:rPr>
          <w:noProof/>
        </w:rPr>
        <w:t>These Clauses shall not be interpreted in a way that runs counter to the rights and obligations provided for in Regulation (EU) 2016/679 / Regulation (EU) 2018/1725 or in a way that prejudices the fundamental rights or freedoms of the data subjects.</w:t>
      </w:r>
    </w:p>
    <w:p>
      <w:pPr>
        <w:pStyle w:val="Titrearticle"/>
        <w:rPr>
          <w:noProof/>
        </w:rPr>
      </w:pPr>
      <w:r>
        <w:rPr>
          <w:noProof/>
        </w:rPr>
        <w:t>Clause 4</w:t>
      </w:r>
    </w:p>
    <w:p>
      <w:pPr>
        <w:pStyle w:val="Titrearticle"/>
        <w:rPr>
          <w:b/>
          <w:noProof/>
        </w:rPr>
      </w:pPr>
      <w:r>
        <w:rPr>
          <w:b/>
          <w:noProof/>
        </w:rPr>
        <w:t>Hierarchy</w:t>
      </w:r>
    </w:p>
    <w:p>
      <w:pPr>
        <w:rPr>
          <w:noProof/>
          <w:szCs w:val="24"/>
        </w:rPr>
      </w:pPr>
      <w:r>
        <w:rPr>
          <w:noProof/>
          <w:szCs w:val="24"/>
        </w:rPr>
        <w:t xml:space="preserve">In the event of a contradiction between these Clauses and the provisions of related agreements between the Parties existing at the time when these Clauses are agreed or entered into thereafter, these Clauses shall prevail. </w:t>
      </w:r>
    </w:p>
    <w:p>
      <w:pPr>
        <w:pStyle w:val="Titrearticle"/>
        <w:rPr>
          <w:noProof/>
        </w:rPr>
      </w:pPr>
      <w:r>
        <w:rPr>
          <w:noProof/>
        </w:rPr>
        <w:t>Clause 5 - Optional</w:t>
      </w:r>
    </w:p>
    <w:p>
      <w:pPr>
        <w:pStyle w:val="Titrearticle"/>
        <w:rPr>
          <w:b/>
          <w:noProof/>
        </w:rPr>
      </w:pPr>
      <w:r>
        <w:rPr>
          <w:b/>
          <w:noProof/>
        </w:rPr>
        <w:t>Docking clause</w:t>
      </w:r>
    </w:p>
    <w:p>
      <w:pPr>
        <w:pStyle w:val="Point0"/>
        <w:rPr>
          <w:noProof/>
        </w:rPr>
      </w:pPr>
      <w:r>
        <w:t>(a)</w:t>
      </w:r>
      <w:r>
        <w:tab/>
      </w:r>
      <w:r>
        <w:rPr>
          <w:noProof/>
        </w:rPr>
        <w:t>Any entity that is not a Party to these Clauses may, with the agreement of all the Parties, accede to these Clauses at any time as a controller or a processor by completing the Annexes and signing Annex I.</w:t>
      </w:r>
    </w:p>
    <w:p>
      <w:pPr>
        <w:pStyle w:val="Point0"/>
        <w:rPr>
          <w:noProof/>
        </w:rPr>
      </w:pPr>
      <w:r>
        <w:t>(b)</w:t>
      </w:r>
      <w:r>
        <w:tab/>
      </w:r>
      <w:r>
        <w:rPr>
          <w:noProof/>
        </w:rPr>
        <w:t>Once the Annexes in (a) are completed and signed, the acceding entity shall be treated as a Party to these Clauses and have the rights and obligations of a controller or a processor, in accordance with its designation in Annex I.</w:t>
      </w:r>
    </w:p>
    <w:p>
      <w:pPr>
        <w:pStyle w:val="Point0"/>
        <w:rPr>
          <w:noProof/>
        </w:rPr>
      </w:pPr>
      <w:r>
        <w:t>(c)</w:t>
      </w:r>
      <w:r>
        <w:tab/>
      </w:r>
      <w:r>
        <w:rPr>
          <w:noProof/>
        </w:rPr>
        <w:t>The acceding entity shall have no rights or obligations resulting from these Clauses from the period prior to becoming a Party.</w:t>
      </w:r>
    </w:p>
    <w:p>
      <w:pPr>
        <w:spacing w:before="0" w:after="200" w:line="276" w:lineRule="auto"/>
        <w:jc w:val="left"/>
        <w:rPr>
          <w:noProof/>
          <w:szCs w:val="24"/>
        </w:rPr>
      </w:pPr>
      <w:r>
        <w:rPr>
          <w:noProof/>
          <w:szCs w:val="24"/>
        </w:rPr>
        <w:br w:type="page"/>
      </w:r>
    </w:p>
    <w:p>
      <w:pPr>
        <w:pStyle w:val="NormalCentered"/>
        <w:rPr>
          <w:b/>
          <w:noProof/>
          <w:u w:val="single"/>
        </w:rPr>
      </w:pPr>
      <w:r>
        <w:rPr>
          <w:b/>
          <w:noProof/>
          <w:u w:val="single"/>
        </w:rPr>
        <w:t>SECTION II – OBLIGATIONS OF THE PARTIES</w:t>
      </w:r>
    </w:p>
    <w:p>
      <w:pPr>
        <w:pStyle w:val="Titrearticle"/>
        <w:rPr>
          <w:noProof/>
        </w:rPr>
      </w:pPr>
      <w:r>
        <w:rPr>
          <w:noProof/>
        </w:rPr>
        <w:t xml:space="preserve">Clause 6 </w:t>
      </w:r>
    </w:p>
    <w:p>
      <w:pPr>
        <w:pStyle w:val="Titrearticle"/>
        <w:rPr>
          <w:b/>
          <w:noProof/>
        </w:rPr>
      </w:pPr>
      <w:r>
        <w:rPr>
          <w:b/>
          <w:noProof/>
        </w:rPr>
        <w:t>Description of processing(s)</w:t>
      </w:r>
    </w:p>
    <w:p>
      <w:pPr>
        <w:rPr>
          <w:noProof/>
          <w:szCs w:val="24"/>
        </w:rPr>
      </w:pPr>
      <w:r>
        <w:rPr>
          <w:noProof/>
          <w:szCs w:val="24"/>
        </w:rPr>
        <w:t>The details of the processing operations, in particular the categories of personal data and the purposes of processing for which the personal data is processed on behalf of the controller, are specified in Annex II.</w:t>
      </w:r>
    </w:p>
    <w:p>
      <w:pPr>
        <w:pStyle w:val="Titrearticle"/>
        <w:rPr>
          <w:noProof/>
        </w:rPr>
      </w:pPr>
      <w:r>
        <w:rPr>
          <w:noProof/>
        </w:rPr>
        <w:t xml:space="preserve">Clause7 </w:t>
      </w:r>
    </w:p>
    <w:p>
      <w:pPr>
        <w:pStyle w:val="Titrearticle"/>
        <w:rPr>
          <w:b/>
          <w:noProof/>
        </w:rPr>
      </w:pPr>
      <w:r>
        <w:rPr>
          <w:b/>
          <w:noProof/>
        </w:rPr>
        <w:t xml:space="preserve">Obligations of the Parties </w:t>
      </w:r>
    </w:p>
    <w:p>
      <w:pPr>
        <w:rPr>
          <w:b/>
          <w:noProof/>
        </w:rPr>
      </w:pPr>
      <w:r>
        <w:rPr>
          <w:b/>
          <w:noProof/>
        </w:rPr>
        <w:t>7.1. Instructions</w:t>
      </w:r>
    </w:p>
    <w:p>
      <w:pPr>
        <w:pStyle w:val="Point0"/>
        <w:rPr>
          <w:noProof/>
        </w:rPr>
      </w:pPr>
      <w:r>
        <w:t>(a)</w:t>
      </w:r>
      <w:r>
        <w:tab/>
      </w:r>
      <w:r>
        <w:rPr>
          <w:noProof/>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pPr>
        <w:pStyle w:val="Point0"/>
        <w:rPr>
          <w:noProof/>
        </w:rPr>
      </w:pPr>
      <w:r>
        <w:t>(b)</w:t>
      </w:r>
      <w:r>
        <w:tab/>
      </w:r>
      <w:r>
        <w:rPr>
          <w:noProof/>
        </w:rPr>
        <w:t>The processor shall immediately inform the controller if, in the processor’s opinion, instructions given by the controller infringe Regulation (EU) 2016/679 / Regulation (EU) 2018/1725 or the applicable Union or Member State data protection provisions.</w:t>
      </w:r>
    </w:p>
    <w:p>
      <w:pPr>
        <w:rPr>
          <w:b/>
          <w:noProof/>
          <w:szCs w:val="24"/>
        </w:rPr>
      </w:pPr>
    </w:p>
    <w:p>
      <w:pPr>
        <w:rPr>
          <w:b/>
          <w:noProof/>
          <w:szCs w:val="24"/>
        </w:rPr>
      </w:pPr>
      <w:r>
        <w:rPr>
          <w:b/>
          <w:noProof/>
          <w:szCs w:val="24"/>
        </w:rPr>
        <w:t>7.2. Purpose limitation</w:t>
      </w:r>
    </w:p>
    <w:p>
      <w:pPr>
        <w:rPr>
          <w:noProof/>
          <w:szCs w:val="24"/>
        </w:rPr>
      </w:pPr>
      <w:r>
        <w:rPr>
          <w:noProof/>
          <w:szCs w:val="24"/>
        </w:rPr>
        <w:t xml:space="preserve">The processor shall process the personal data only for the specific purpose(s) of the processing, as set out in Annex II, </w:t>
      </w:r>
      <w:r>
        <w:rPr>
          <w:noProof/>
        </w:rPr>
        <w:t>unless it receives further instructions from the controller</w:t>
      </w:r>
      <w:r>
        <w:rPr>
          <w:noProof/>
          <w:szCs w:val="24"/>
        </w:rPr>
        <w:t>.</w:t>
      </w:r>
    </w:p>
    <w:p>
      <w:pPr>
        <w:rPr>
          <w:noProof/>
          <w:szCs w:val="24"/>
        </w:rPr>
      </w:pPr>
    </w:p>
    <w:p>
      <w:pPr>
        <w:rPr>
          <w:b/>
          <w:noProof/>
          <w:szCs w:val="24"/>
        </w:rPr>
      </w:pPr>
      <w:r>
        <w:rPr>
          <w:b/>
          <w:noProof/>
          <w:szCs w:val="24"/>
        </w:rPr>
        <w:t>7.3. Duration of the processing of personal data</w:t>
      </w:r>
    </w:p>
    <w:p>
      <w:pPr>
        <w:rPr>
          <w:noProof/>
          <w:szCs w:val="24"/>
        </w:rPr>
      </w:pPr>
      <w:r>
        <w:rPr>
          <w:noProof/>
          <w:szCs w:val="24"/>
        </w:rPr>
        <w:t xml:space="preserve">Processing by the processor shall only take place for the duration specified in Annex II. </w:t>
      </w:r>
    </w:p>
    <w:p>
      <w:pPr>
        <w:rPr>
          <w:noProof/>
          <w:szCs w:val="24"/>
        </w:rPr>
      </w:pPr>
    </w:p>
    <w:p>
      <w:pPr>
        <w:rPr>
          <w:b/>
          <w:noProof/>
          <w:szCs w:val="24"/>
        </w:rPr>
      </w:pPr>
      <w:r>
        <w:rPr>
          <w:b/>
          <w:noProof/>
          <w:szCs w:val="24"/>
        </w:rPr>
        <w:t>7.4. Security of processing</w:t>
      </w:r>
    </w:p>
    <w:p>
      <w:pPr>
        <w:pStyle w:val="Point0"/>
        <w:rPr>
          <w:noProof/>
        </w:rPr>
      </w:pPr>
      <w:r>
        <w:t>(a)</w:t>
      </w:r>
      <w:r>
        <w:tab/>
      </w:r>
      <w:r>
        <w:rPr>
          <w:noProof/>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pPr>
        <w:pStyle w:val="Point0"/>
        <w:rPr>
          <w:noProof/>
        </w:rPr>
      </w:pPr>
      <w:r>
        <w:t>(b)</w:t>
      </w:r>
      <w:r>
        <w:tab/>
      </w:r>
      <w:r>
        <w:rPr>
          <w:noProof/>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pPr>
        <w:rPr>
          <w:b/>
          <w:noProof/>
          <w:szCs w:val="24"/>
        </w:rPr>
      </w:pPr>
    </w:p>
    <w:p>
      <w:pPr>
        <w:rPr>
          <w:b/>
          <w:noProof/>
          <w:szCs w:val="24"/>
        </w:rPr>
      </w:pPr>
      <w:r>
        <w:rPr>
          <w:b/>
          <w:noProof/>
          <w:szCs w:val="24"/>
        </w:rPr>
        <w:t>7.5. Sensitive data</w:t>
      </w:r>
    </w:p>
    <w:p>
      <w:pPr>
        <w:pStyle w:val="ListParagraph"/>
        <w:ind w:left="0"/>
        <w:jc w:val="both"/>
        <w:rPr>
          <w:noProof/>
        </w:rPr>
      </w:pPr>
      <w:r>
        <w:rPr>
          <w:rFonts w:ascii="Times New Roman" w:hAnsi="Times New Roman" w:cs="Times New Roman"/>
          <w:noProof/>
          <w:sz w:val="24"/>
          <w:szCs w:val="24"/>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pPr>
        <w:rPr>
          <w:b/>
          <w:noProof/>
          <w:szCs w:val="24"/>
        </w:rPr>
      </w:pPr>
    </w:p>
    <w:p>
      <w:pPr>
        <w:rPr>
          <w:b/>
          <w:noProof/>
          <w:szCs w:val="24"/>
        </w:rPr>
      </w:pPr>
      <w:r>
        <w:rPr>
          <w:b/>
          <w:noProof/>
          <w:szCs w:val="24"/>
        </w:rPr>
        <w:t>7.6 Documentation and compliance</w:t>
      </w:r>
    </w:p>
    <w:p>
      <w:pPr>
        <w:pStyle w:val="Point0"/>
        <w:rPr>
          <w:noProof/>
        </w:rPr>
      </w:pPr>
      <w:r>
        <w:t>(a)</w:t>
      </w:r>
      <w:r>
        <w:tab/>
      </w:r>
      <w:r>
        <w:rPr>
          <w:noProof/>
        </w:rPr>
        <w:t>The Parties shall be able to demonstrate compliance with these Clauses.</w:t>
      </w:r>
    </w:p>
    <w:p>
      <w:pPr>
        <w:pStyle w:val="Point0"/>
        <w:rPr>
          <w:noProof/>
        </w:rPr>
      </w:pPr>
      <w:r>
        <w:t>(b)</w:t>
      </w:r>
      <w:r>
        <w:tab/>
      </w:r>
      <w:r>
        <w:rPr>
          <w:noProof/>
        </w:rPr>
        <w:t xml:space="preserve">The processor shall deal promptly and adequately with inquiries from the controller about the processing of data in accordance with these Clauses.  </w:t>
      </w:r>
    </w:p>
    <w:p>
      <w:pPr>
        <w:pStyle w:val="Point0"/>
        <w:rPr>
          <w:noProof/>
        </w:rPr>
      </w:pPr>
      <w:r>
        <w:t>(c)</w:t>
      </w:r>
      <w:r>
        <w:tab/>
      </w:r>
      <w:r>
        <w:rPr>
          <w:noProof/>
        </w:rPr>
        <w:t xml:space="preserve">The processor shall make available to the controller all information necessary to demonstrate compliance with the obligations that are set out in these Clauses and stem directly from Regulation (EU) 2016/679 and/or Regulation (EU) 2018/1725.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    </w:t>
      </w:r>
    </w:p>
    <w:p>
      <w:pPr>
        <w:pStyle w:val="Point0"/>
        <w:rPr>
          <w:noProof/>
        </w:rPr>
      </w:pPr>
      <w:r>
        <w:t>(d)</w:t>
      </w:r>
      <w:r>
        <w:tab/>
      </w:r>
      <w:r>
        <w:rPr>
          <w:noProof/>
        </w:rPr>
        <w:t xml:space="preserve">The controller may choose to conduct the audit by itself or mandate an independent auditor. Audits may also include inspections at the premises or physical facilities of the processor and shall, where appropriate, be carried out with reasonable notice. </w:t>
      </w:r>
    </w:p>
    <w:p>
      <w:pPr>
        <w:pStyle w:val="Point0"/>
        <w:rPr>
          <w:noProof/>
        </w:rPr>
      </w:pPr>
      <w:r>
        <w:t>(e)</w:t>
      </w:r>
      <w:r>
        <w:tab/>
      </w:r>
      <w:r>
        <w:rPr>
          <w:noProof/>
        </w:rPr>
        <w:t>The Parties shall make the information referred to in this Clause, including the results of any audits, available to the competent supervisory authority/ies on request.</w:t>
      </w:r>
    </w:p>
    <w:p>
      <w:pPr>
        <w:rPr>
          <w:b/>
          <w:noProof/>
        </w:rPr>
      </w:pPr>
    </w:p>
    <w:p>
      <w:pPr>
        <w:rPr>
          <w:b/>
          <w:noProof/>
        </w:rPr>
      </w:pPr>
      <w:r>
        <w:rPr>
          <w:b/>
          <w:noProof/>
        </w:rPr>
        <w:t>7.7. Use of sub-processors</w:t>
      </w:r>
    </w:p>
    <w:p>
      <w:pPr>
        <w:pStyle w:val="Point0"/>
        <w:rPr>
          <w:noProof/>
        </w:rPr>
      </w:pPr>
      <w:r>
        <w:t>(a)</w:t>
      </w:r>
      <w:r>
        <w:tab/>
      </w:r>
      <w:r>
        <w:rPr>
          <w:noProof/>
        </w:rPr>
        <w:t>OPTION 1: PRIOR SPECIFIC AUTHORISATION: 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[SPECIFY TIME PERIOD]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pPr>
        <w:pStyle w:val="ListParagraph"/>
        <w:spacing w:before="240"/>
        <w:ind w:left="850"/>
        <w:jc w:val="both"/>
        <w:rPr>
          <w:rFonts w:ascii="Times New Roman" w:hAnsi="Times New Roman" w:cs="Times New Roman"/>
          <w:noProof/>
          <w:sz w:val="24"/>
          <w:szCs w:val="24"/>
        </w:rPr>
      </w:pPr>
      <w:r>
        <w:rPr>
          <w:rFonts w:ascii="Times New Roman" w:hAnsi="Times New Roman" w:cs="Times New Roman"/>
          <w:noProof/>
          <w:sz w:val="24"/>
          <w:szCs w:val="24"/>
        </w:rPr>
        <w:t>OPTION 2: GENERAL WRITTEN AUTHORISATION: The processor has the controller’s general authorisation for the engagement of sub-processors from an agreed list. The processor shall specifically inform in writing the controller of any intended changes of that list through the addition or replacement of sub-processors at least [SPECIFY TIME PERIOD] in advance, thereby giving the controller sufficient time to be able to object to such changes prior to the engagement of the concerned sub-processor(s). The processor shall provide the controller with the information necessary to enable the controller to exercise the right to object.</w:t>
      </w:r>
    </w:p>
    <w:p>
      <w:pPr>
        <w:pStyle w:val="Point0"/>
        <w:rPr>
          <w:noProof/>
        </w:rPr>
      </w:pPr>
      <w:r>
        <w:t>(b)</w:t>
      </w:r>
      <w:r>
        <w:tab/>
      </w:r>
      <w:r>
        <w:rPr>
          <w:noProof/>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 and/or Regulation (EU) 2018/1725.</w:t>
      </w:r>
    </w:p>
    <w:p>
      <w:pPr>
        <w:pStyle w:val="Point0"/>
        <w:rPr>
          <w:noProof/>
        </w:rPr>
      </w:pPr>
      <w:r>
        <w:t>(c)</w:t>
      </w:r>
      <w:r>
        <w:tab/>
      </w:r>
      <w:r>
        <w:rPr>
          <w:noProof/>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pPr>
        <w:pStyle w:val="Point0"/>
        <w:rPr>
          <w:noProof/>
        </w:rPr>
      </w:pPr>
      <w:r>
        <w:t>(d)</w:t>
      </w:r>
      <w:r>
        <w:tab/>
      </w:r>
      <w:r>
        <w:rPr>
          <w:noProof/>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pPr>
        <w:pStyle w:val="Point0"/>
        <w:rPr>
          <w:noProof/>
          <w:lang w:val="en-IE"/>
        </w:rPr>
      </w:pPr>
      <w:r>
        <w:t>(e)</w:t>
      </w:r>
      <w:r>
        <w:tab/>
      </w:r>
      <w:r>
        <w:rPr>
          <w:noProof/>
          <w:lang w:val="en-IE"/>
        </w:rPr>
        <w:t>The processor shall agree a third 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pPr>
        <w:rPr>
          <w:b/>
          <w:noProof/>
          <w:szCs w:val="24"/>
        </w:rPr>
      </w:pPr>
    </w:p>
    <w:p>
      <w:pPr>
        <w:rPr>
          <w:b/>
          <w:noProof/>
          <w:szCs w:val="24"/>
        </w:rPr>
      </w:pPr>
      <w:r>
        <w:rPr>
          <w:b/>
          <w:noProof/>
          <w:szCs w:val="24"/>
        </w:rPr>
        <w:t>7.8. International transfers</w:t>
      </w:r>
    </w:p>
    <w:p>
      <w:pPr>
        <w:pStyle w:val="Point0"/>
        <w:rPr>
          <w:noProof/>
        </w:rPr>
      </w:pPr>
      <w:r>
        <w:t>(a)</w:t>
      </w:r>
      <w:r>
        <w:tab/>
      </w:r>
      <w:r>
        <w:rPr>
          <w:noProof/>
        </w:rPr>
        <w:t xml:space="preserve">Any transfer of data to a third country or an international organisation by the processor shall be done only on the basis of documented instructions from the controller </w:t>
      </w:r>
      <w:r>
        <w:rPr>
          <w:rFonts w:cstheme="minorHAnsi"/>
          <w:noProof/>
          <w:lang w:val="en-IE"/>
        </w:rPr>
        <w:t>or in order to fulfil a specific requirement under Union or Member State law to which the processor is subject</w:t>
      </w:r>
      <w:r>
        <w:rPr>
          <w:rFonts w:cstheme="minorHAnsi"/>
          <w:i/>
          <w:noProof/>
          <w:lang w:val="en-IE"/>
        </w:rPr>
        <w:t xml:space="preserve"> </w:t>
      </w:r>
      <w:r>
        <w:rPr>
          <w:noProof/>
        </w:rPr>
        <w:t xml:space="preserve">and shall take place in compliance with Chapter V of Regulation (EU) 2016/679 or Regulation (EU) 2018/1725. </w:t>
      </w:r>
    </w:p>
    <w:p>
      <w:pPr>
        <w:pStyle w:val="Point0"/>
        <w:rPr>
          <w:noProof/>
        </w:rPr>
      </w:pPr>
      <w:r>
        <w:t>(b)</w:t>
      </w:r>
      <w:r>
        <w:tab/>
      </w:r>
      <w:r>
        <w:rPr>
          <w:noProof/>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r>
        <w:rPr>
          <w:rFonts w:cstheme="minorHAnsi"/>
          <w:noProof/>
          <w:color w:val="7030A0"/>
        </w:rPr>
        <w:t>.</w:t>
      </w:r>
    </w:p>
    <w:p>
      <w:pPr>
        <w:pStyle w:val="Titrearticle"/>
        <w:rPr>
          <w:noProof/>
        </w:rPr>
      </w:pPr>
      <w:r>
        <w:rPr>
          <w:noProof/>
        </w:rPr>
        <w:t>Clause 8</w:t>
      </w:r>
    </w:p>
    <w:p>
      <w:pPr>
        <w:pStyle w:val="Titrearticle"/>
        <w:rPr>
          <w:b/>
          <w:noProof/>
        </w:rPr>
      </w:pPr>
      <w:r>
        <w:rPr>
          <w:b/>
          <w:noProof/>
        </w:rPr>
        <w:t xml:space="preserve">Assistance to the controller </w:t>
      </w:r>
    </w:p>
    <w:p>
      <w:pPr>
        <w:pStyle w:val="Point0"/>
        <w:rPr>
          <w:noProof/>
        </w:rPr>
      </w:pPr>
      <w:r>
        <w:t>(a)</w:t>
      </w:r>
      <w:r>
        <w:tab/>
      </w:r>
      <w:r>
        <w:rPr>
          <w:noProof/>
        </w:rPr>
        <w:t>The processor shall promptly notify the controller of any request it has received from the data subject. It shall not respond to the request itself, unless authorised to do so by the controller.</w:t>
      </w:r>
    </w:p>
    <w:p>
      <w:pPr>
        <w:pStyle w:val="Point0"/>
        <w:rPr>
          <w:noProof/>
          <w:lang w:val="sl-SI"/>
        </w:rPr>
      </w:pPr>
      <w:r>
        <w:t>(b)</w:t>
      </w:r>
      <w:r>
        <w:tab/>
      </w:r>
      <w:r>
        <w:rPr>
          <w:rFonts w:cstheme="minorHAnsi"/>
          <w:noProof/>
          <w:lang w:val="en-IE"/>
        </w:rPr>
        <w:t>The</w:t>
      </w:r>
      <w:r>
        <w:rPr>
          <w:noProof/>
        </w:rPr>
        <w:t xml:space="preserve"> processor shall assist the controller in fulfilling its obligations to respond to data subjects’ requests to exercise their rights, </w:t>
      </w:r>
      <w:r>
        <w:rPr>
          <w:rFonts w:cstheme="minorHAnsi"/>
          <w:noProof/>
          <w:lang w:val="en-IE"/>
        </w:rPr>
        <w:t>taking into account the nature of the processing</w:t>
      </w:r>
      <w:r>
        <w:rPr>
          <w:noProof/>
        </w:rPr>
        <w:t xml:space="preserve">. </w:t>
      </w:r>
      <w:r>
        <w:rPr>
          <w:noProof/>
          <w:lang w:val="sl-SI"/>
        </w:rPr>
        <w:t>I</w:t>
      </w:r>
      <w:r>
        <w:rPr>
          <w:noProof/>
        </w:rPr>
        <w:t>n fulfilling its obligations in accordance with (a) and (b), the processor shall comply with the controller’s instructions</w:t>
      </w:r>
    </w:p>
    <w:p>
      <w:pPr>
        <w:pStyle w:val="Point0"/>
        <w:rPr>
          <w:noProof/>
          <w:lang w:val="sl-SI"/>
        </w:rPr>
      </w:pPr>
      <w:r>
        <w:t>(c)</w:t>
      </w:r>
      <w:r>
        <w:tab/>
      </w:r>
      <w:r>
        <w:rPr>
          <w:noProof/>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pPr>
        <w:pStyle w:val="Point1"/>
        <w:rPr>
          <w:noProof/>
          <w:lang w:val="sl-SI"/>
        </w:rPr>
      </w:pPr>
      <w:r>
        <w:t>(1)</w:t>
      </w:r>
      <w:r>
        <w:tab/>
      </w:r>
      <w:r>
        <w:rPr>
          <w:noProof/>
        </w:rPr>
        <w:t>the obligation to carry out an assessment of the impact of the envisaged processing operations on the protection of personal data (a ‘data protection impact assessment’) where a type of processing is likely to result in a high risk to the rights and freedoms of natural persons;</w:t>
      </w:r>
    </w:p>
    <w:p>
      <w:pPr>
        <w:pStyle w:val="Point1"/>
        <w:rPr>
          <w:noProof/>
        </w:rPr>
      </w:pPr>
      <w:r>
        <w:t>(2)</w:t>
      </w:r>
      <w:r>
        <w:tab/>
      </w:r>
      <w:r>
        <w:rPr>
          <w:noProof/>
        </w:rPr>
        <w:t>the obligation to consult the competent supervisory authority/ies prior to processing where a data protection impact assessment indicates that the processing would result in a high risk in the absence of measures taken by the controller to mitigate the risk;</w:t>
      </w:r>
    </w:p>
    <w:p>
      <w:pPr>
        <w:pStyle w:val="Point1"/>
        <w:rPr>
          <w:noProof/>
        </w:rPr>
      </w:pPr>
      <w:r>
        <w:t>(3)</w:t>
      </w:r>
      <w:r>
        <w:tab/>
      </w:r>
      <w:r>
        <w:rPr>
          <w:noProof/>
        </w:rPr>
        <w:t>the obligation to ensure that personal data is accurate and up to date, by informing the controller without delay if the processor becomes aware that the personal data it is processing is inaccurate or has become outdated;</w:t>
      </w:r>
    </w:p>
    <w:p>
      <w:pPr>
        <w:pStyle w:val="Point1"/>
        <w:rPr>
          <w:noProof/>
        </w:rPr>
      </w:pPr>
      <w:r>
        <w:t>(4)</w:t>
      </w:r>
      <w:r>
        <w:tab/>
      </w:r>
      <w:r>
        <w:rPr>
          <w:noProof/>
        </w:rPr>
        <w:t>the obligations in [OPTION 1] Article 32 Regulation (EU) 2016/679/ [OPTION 2] Articles 33, 36 to 38 Regulation (EU) 2018/1725.</w:t>
      </w:r>
    </w:p>
    <w:p>
      <w:pPr>
        <w:pStyle w:val="Point0"/>
        <w:rPr>
          <w:noProof/>
        </w:rPr>
      </w:pPr>
      <w:r>
        <w:t>(d)</w:t>
      </w:r>
      <w:r>
        <w:tab/>
      </w:r>
      <w:r>
        <w:rPr>
          <w:noProof/>
        </w:rPr>
        <w:t xml:space="preserve">The Parties shall set out in Annex III the appropriate technical and organisational measures by which the processor is required to assist the controller in the application of this Clause as well as the scope and the extent of the assistance required. </w:t>
      </w:r>
    </w:p>
    <w:p>
      <w:pPr>
        <w:pStyle w:val="Titrearticle"/>
        <w:rPr>
          <w:noProof/>
          <w:u w:val="single"/>
        </w:rPr>
      </w:pPr>
      <w:r>
        <w:rPr>
          <w:noProof/>
        </w:rPr>
        <w:t>Clause 9</w:t>
      </w:r>
    </w:p>
    <w:p>
      <w:pPr>
        <w:pStyle w:val="Titrearticle"/>
        <w:rPr>
          <w:b/>
          <w:noProof/>
        </w:rPr>
      </w:pPr>
      <w:r>
        <w:rPr>
          <w:b/>
          <w:noProof/>
        </w:rPr>
        <w:t>Notification of personal data breach</w:t>
      </w:r>
    </w:p>
    <w:p>
      <w:pPr>
        <w:autoSpaceDE w:val="0"/>
        <w:autoSpaceDN w:val="0"/>
        <w:adjustRightInd w:val="0"/>
        <w:spacing w:after="0"/>
        <w:rPr>
          <w:noProof/>
        </w:rPr>
      </w:pPr>
      <w:r>
        <w:rPr>
          <w:noProof/>
        </w:rPr>
        <w:t>In the event of a personal data breach, the processor shall cooperate with and assist the controller for the controller to comply with its obligations under Articles 33 and 34 Regulation (EU) 2016/679 or under Articles 34 and 35 Regulation (EU) 2018/1725, where applicable, taking into account the nature of processing and the information available to the processor.</w:t>
      </w:r>
    </w:p>
    <w:p>
      <w:pPr>
        <w:autoSpaceDE w:val="0"/>
        <w:autoSpaceDN w:val="0"/>
        <w:adjustRightInd w:val="0"/>
        <w:spacing w:after="0"/>
        <w:rPr>
          <w:b/>
          <w:noProof/>
        </w:rPr>
      </w:pPr>
    </w:p>
    <w:p>
      <w:pPr>
        <w:autoSpaceDE w:val="0"/>
        <w:autoSpaceDN w:val="0"/>
        <w:adjustRightInd w:val="0"/>
        <w:spacing w:after="0"/>
        <w:rPr>
          <w:b/>
          <w:noProof/>
        </w:rPr>
      </w:pPr>
      <w:r>
        <w:rPr>
          <w:b/>
          <w:noProof/>
        </w:rPr>
        <w:t xml:space="preserve">9.1 </w:t>
      </w:r>
      <w:r>
        <w:rPr>
          <w:b/>
          <w:noProof/>
          <w:szCs w:val="24"/>
        </w:rPr>
        <w:t>Data breach concerning data processed by the controller</w:t>
      </w:r>
    </w:p>
    <w:p>
      <w:pPr>
        <w:rPr>
          <w:noProof/>
        </w:rPr>
      </w:pPr>
      <w:r>
        <w:rPr>
          <w:noProof/>
        </w:rPr>
        <w:t>In the event of a personal data breach concerning data processed by the controller, the processor shall assist the controller:</w:t>
      </w:r>
    </w:p>
    <w:p>
      <w:pPr>
        <w:pStyle w:val="Point0"/>
        <w:rPr>
          <w:noProof/>
        </w:rPr>
      </w:pPr>
      <w:r>
        <w:t>(a)</w:t>
      </w:r>
      <w:r>
        <w:tab/>
      </w:r>
      <w:r>
        <w:rPr>
          <w:noProof/>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pPr>
        <w:pStyle w:val="Point0"/>
        <w:rPr>
          <w:noProof/>
        </w:rPr>
      </w:pPr>
      <w:r>
        <w:t>(b)</w:t>
      </w:r>
      <w:r>
        <w:tab/>
      </w:r>
      <w:r>
        <w:rPr>
          <w:noProof/>
        </w:rPr>
        <w:t xml:space="preserve">in obtaining the following information which, pursuant to [OPTION 1] Article 33(3) Regulation (EU) 2016/679/ [OPTION 2] Article 34(3) Regulation (EU) 2018/1725, shall be stated in the controller’s notification, and must at least include:   </w:t>
      </w:r>
    </w:p>
    <w:p>
      <w:pPr>
        <w:pStyle w:val="Point1"/>
        <w:rPr>
          <w:noProof/>
        </w:rPr>
      </w:pPr>
      <w:r>
        <w:t>(1)</w:t>
      </w:r>
      <w:r>
        <w:tab/>
      </w:r>
      <w:r>
        <w:rPr>
          <w:noProof/>
        </w:rPr>
        <w:t xml:space="preserve">the nature of the personal data including where possible, the categories and approximate number of data subjects concerned and the categories and approximate number of personal data records concerned; </w:t>
      </w:r>
    </w:p>
    <w:p>
      <w:pPr>
        <w:pStyle w:val="Point1"/>
        <w:rPr>
          <w:noProof/>
        </w:rPr>
      </w:pPr>
      <w:r>
        <w:t>(2)</w:t>
      </w:r>
      <w:r>
        <w:tab/>
      </w:r>
      <w:r>
        <w:rPr>
          <w:noProof/>
        </w:rPr>
        <w:t xml:space="preserve">the likely consequences of the personal data breach;  </w:t>
      </w:r>
    </w:p>
    <w:p>
      <w:pPr>
        <w:pStyle w:val="Point1"/>
        <w:rPr>
          <w:noProof/>
        </w:rPr>
      </w:pPr>
      <w:r>
        <w:t>(3)</w:t>
      </w:r>
      <w:r>
        <w:tab/>
      </w:r>
      <w:r>
        <w:rPr>
          <w:noProof/>
        </w:rPr>
        <w:t xml:space="preserve">the measures taken or proposed to be taken by the controller to address the personal data breach, including, where appropriate, measures to mitigate its possible adverse effects. </w:t>
      </w:r>
    </w:p>
    <w:p>
      <w:pPr>
        <w:autoSpaceDE w:val="0"/>
        <w:autoSpaceDN w:val="0"/>
        <w:adjustRightInd w:val="0"/>
        <w:spacing w:after="0"/>
        <w:rPr>
          <w:noProof/>
          <w:lang w:val="sl-SI"/>
        </w:rPr>
      </w:pPr>
      <w:r>
        <w:rPr>
          <w:noProof/>
          <w:szCs w:val="24"/>
        </w:rPr>
        <w:t>Where, and insofar as, it is not possible to provide all this information at the same time, the initial notification shall contain the information then available and further information shall, as it becomes available, subsequently be provided without undue delay.</w:t>
      </w:r>
    </w:p>
    <w:p>
      <w:pPr>
        <w:pStyle w:val="Point0"/>
        <w:rPr>
          <w:noProof/>
        </w:rPr>
      </w:pPr>
      <w:r>
        <w:t>(c)</w:t>
      </w:r>
      <w:r>
        <w:tab/>
      </w:r>
      <w:r>
        <w:rPr>
          <w:noProof/>
        </w:rPr>
        <w:t>in complying, pursuant to [OPTION 1] Article 34 Regulation (EU) 2016/679 / [OPTION 2] Article 35 Regulation (EU) 2018/1725, with the obligation to communicate without undue delay the personal data breach to the data subject, when the personal data breach is likely to result in a high risk to the rights and freedoms of natural persons.</w:t>
      </w:r>
    </w:p>
    <w:p>
      <w:pPr>
        <w:rPr>
          <w:b/>
          <w:noProof/>
        </w:rPr>
      </w:pPr>
    </w:p>
    <w:p>
      <w:pPr>
        <w:rPr>
          <w:b/>
          <w:noProof/>
        </w:rPr>
      </w:pPr>
      <w:r>
        <w:rPr>
          <w:b/>
          <w:noProof/>
        </w:rPr>
        <w:t>9.2 Data breach concerning data processed by the processor</w:t>
      </w:r>
    </w:p>
    <w:p>
      <w:pPr>
        <w:autoSpaceDE w:val="0"/>
        <w:autoSpaceDN w:val="0"/>
        <w:adjustRightInd w:val="0"/>
        <w:spacing w:after="0"/>
        <w:rPr>
          <w:noProof/>
          <w:szCs w:val="24"/>
        </w:rPr>
      </w:pPr>
      <w:r>
        <w:rPr>
          <w:noProof/>
          <w:szCs w:val="24"/>
        </w:rPr>
        <w:t>In the event of a personal data breach concerning data processed by the processor, the processor shall notify the controller without undue delay after the processor having become aware of the breach. Such notification shall contain, at least:</w:t>
      </w:r>
    </w:p>
    <w:p>
      <w:pPr>
        <w:pStyle w:val="Point1"/>
        <w:rPr>
          <w:noProof/>
        </w:rPr>
      </w:pPr>
      <w:r>
        <w:t>(a)</w:t>
      </w:r>
      <w:r>
        <w:tab/>
      </w:r>
      <w:r>
        <w:rPr>
          <w:noProof/>
        </w:rPr>
        <w:t>a description of the nature of the breach (including, where possible, the categories and approximate number of data subjects and data records concerned);</w:t>
      </w:r>
    </w:p>
    <w:p>
      <w:pPr>
        <w:pStyle w:val="Point1"/>
        <w:rPr>
          <w:noProof/>
        </w:rPr>
      </w:pPr>
      <w:r>
        <w:t>(b)</w:t>
      </w:r>
      <w:r>
        <w:tab/>
      </w:r>
      <w:r>
        <w:rPr>
          <w:noProof/>
        </w:rPr>
        <w:t>the details of a contact point where more information concerning the personal data breach can be obtained;</w:t>
      </w:r>
    </w:p>
    <w:p>
      <w:pPr>
        <w:pStyle w:val="Point1"/>
        <w:rPr>
          <w:noProof/>
        </w:rPr>
      </w:pPr>
      <w:r>
        <w:t>(c)</w:t>
      </w:r>
      <w:r>
        <w:tab/>
      </w:r>
      <w:r>
        <w:rPr>
          <w:noProof/>
        </w:rPr>
        <w:t>its likely consequences and the measures taken or proposed to be taken to address the breach, including to mitigate its possible adverse effects.</w:t>
      </w:r>
    </w:p>
    <w:p>
      <w:pPr>
        <w:autoSpaceDE w:val="0"/>
        <w:autoSpaceDN w:val="0"/>
        <w:adjustRightInd w:val="0"/>
        <w:spacing w:after="0"/>
        <w:rPr>
          <w:noProof/>
          <w:szCs w:val="24"/>
        </w:rPr>
      </w:pPr>
      <w:r>
        <w:rPr>
          <w:noProof/>
          <w:szCs w:val="24"/>
        </w:rPr>
        <w:t>Where, and insofar as, it is not possible to provide all this information at the same time, the initial notification shall contain the information then available and further information shall, as it becomes available, subsequently be provided without undue delay.</w:t>
      </w:r>
    </w:p>
    <w:p>
      <w:pPr>
        <w:autoSpaceDE w:val="0"/>
        <w:autoSpaceDN w:val="0"/>
        <w:adjustRightInd w:val="0"/>
        <w:spacing w:after="0"/>
        <w:rPr>
          <w:noProof/>
        </w:rPr>
      </w:pPr>
      <w:r>
        <w:rPr>
          <w:noProof/>
        </w:rPr>
        <w:t xml:space="preserve">The Parties shall set out in Annex III all other elements to be provided by the processor when assisting the controller in the compliance with the controller’s obligations under [OPTION 1] Articles 33 and 34 of Regulation (EU) 2016/679 / [OPTION 2] Articles 34 and 35 of Regulation (EU) 2018/1725. </w:t>
      </w:r>
    </w:p>
    <w:p>
      <w:pPr>
        <w:autoSpaceDE w:val="0"/>
        <w:autoSpaceDN w:val="0"/>
        <w:adjustRightInd w:val="0"/>
        <w:spacing w:after="0"/>
        <w:rPr>
          <w:noProof/>
          <w:szCs w:val="24"/>
          <w:lang w:val="sl-SI"/>
        </w:rPr>
      </w:pPr>
      <w:r>
        <w:rPr>
          <w:noProof/>
          <w:szCs w:val="24"/>
          <w:lang w:val="sl-SI"/>
        </w:rPr>
        <w:br w:type="page"/>
      </w:r>
    </w:p>
    <w:p>
      <w:pPr>
        <w:autoSpaceDE w:val="0"/>
        <w:autoSpaceDN w:val="0"/>
        <w:adjustRightInd w:val="0"/>
        <w:spacing w:after="0"/>
        <w:rPr>
          <w:noProof/>
          <w:szCs w:val="24"/>
          <w:lang w:val="sl-SI"/>
        </w:rPr>
      </w:pPr>
    </w:p>
    <w:p>
      <w:pPr>
        <w:pStyle w:val="NormalCentered"/>
        <w:rPr>
          <w:b/>
          <w:noProof/>
          <w:u w:val="single"/>
        </w:rPr>
      </w:pPr>
      <w:r>
        <w:rPr>
          <w:b/>
          <w:noProof/>
          <w:u w:val="single"/>
        </w:rPr>
        <w:t>SECTION III – FINAL PROVISIONS</w:t>
      </w:r>
    </w:p>
    <w:p>
      <w:pPr>
        <w:pStyle w:val="Titrearticle"/>
        <w:rPr>
          <w:noProof/>
        </w:rPr>
      </w:pPr>
      <w:r>
        <w:rPr>
          <w:noProof/>
        </w:rPr>
        <w:t xml:space="preserve">Clause 10 </w:t>
      </w:r>
    </w:p>
    <w:p>
      <w:pPr>
        <w:pStyle w:val="Titrearticle"/>
        <w:rPr>
          <w:b/>
          <w:noProof/>
        </w:rPr>
      </w:pPr>
      <w:r>
        <w:rPr>
          <w:b/>
          <w:noProof/>
        </w:rPr>
        <w:t>Non-compliance with the Clauses and termination</w:t>
      </w:r>
    </w:p>
    <w:p>
      <w:pPr>
        <w:pStyle w:val="Point0"/>
        <w:rPr>
          <w:noProof/>
        </w:rPr>
      </w:pPr>
      <w:r>
        <w:t>(a)</w:t>
      </w:r>
      <w:r>
        <w:tab/>
      </w:r>
      <w:r>
        <w:rPr>
          <w:noProof/>
        </w:rPr>
        <w:t>Without prejudice to any provisions of Regulation (EU) 2016/679 and/or Regulation (EU) 2018/1725,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pPr>
        <w:pStyle w:val="Point0"/>
        <w:rPr>
          <w:noProof/>
        </w:rPr>
      </w:pPr>
      <w:r>
        <w:t>(b)</w:t>
      </w:r>
      <w:r>
        <w:tab/>
      </w:r>
      <w:r>
        <w:rPr>
          <w:noProof/>
        </w:rPr>
        <w:t>The controller shall be entitled to terminate the contract insofar as it concerns processing of personal data in accordance with these Clauses if:</w:t>
      </w:r>
    </w:p>
    <w:p>
      <w:pPr>
        <w:pStyle w:val="Point1"/>
        <w:rPr>
          <w:noProof/>
        </w:rPr>
      </w:pPr>
      <w:r>
        <w:t>(1)</w:t>
      </w:r>
      <w:r>
        <w:tab/>
      </w:r>
      <w:r>
        <w:rPr>
          <w:noProof/>
        </w:rPr>
        <w:t>the processing of personal data by the processor has been  suspended by the controller pursuant to point (a) and if compliance with these Clauses is not restored within a reasonable time and in any event within one month following suspension;</w:t>
      </w:r>
    </w:p>
    <w:p>
      <w:pPr>
        <w:pStyle w:val="Point1"/>
        <w:rPr>
          <w:noProof/>
        </w:rPr>
      </w:pPr>
      <w:r>
        <w:t>(2)</w:t>
      </w:r>
      <w:r>
        <w:tab/>
      </w:r>
      <w:r>
        <w:rPr>
          <w:noProof/>
        </w:rPr>
        <w:t xml:space="preserve">the processor is in substantial or persistent breach of these Clauses or its obligations under Regulation (EU) 2016/679 and/or Regulation (EU) 2018/1725; </w:t>
      </w:r>
    </w:p>
    <w:p>
      <w:pPr>
        <w:pStyle w:val="Point1"/>
        <w:rPr>
          <w:noProof/>
        </w:rPr>
      </w:pPr>
      <w:r>
        <w:t>(3)</w:t>
      </w:r>
      <w:r>
        <w:tab/>
      </w:r>
      <w:r>
        <w:rPr>
          <w:noProof/>
        </w:rPr>
        <w:t>the processor fails to comply with a binding decision of a competent court or the competent supervisory authority/ies regarding its obligations pursuant to these Clauses or to Regulation (EU) 2016/679 and/or Regulation (EU) 2018/1725.</w:t>
      </w:r>
    </w:p>
    <w:p>
      <w:pPr>
        <w:pStyle w:val="Point0"/>
        <w:rPr>
          <w:noProof/>
        </w:rPr>
      </w:pPr>
      <w:r>
        <w:t>(c)</w:t>
      </w:r>
      <w:r>
        <w:tab/>
      </w:r>
      <w:r>
        <w:rPr>
          <w:noProof/>
        </w:rPr>
        <w:t xml:space="preserve">The processor shall be entitled to terminate the  </w:t>
      </w:r>
      <w:r>
        <w:rPr>
          <w:noProof/>
          <w:szCs w:val="24"/>
        </w:rPr>
        <w:t xml:space="preserve">contract insofar as it concerns processing of personal data under these Clauses </w:t>
      </w:r>
      <w:r>
        <w:rPr>
          <w:noProof/>
        </w:rPr>
        <w:t>where, after having informed the controller that its instructions infringe applicable legal requirements in accordance with Clause 7.1 (b), the controller insists on compliance with the instructions.</w:t>
      </w:r>
    </w:p>
    <w:p>
      <w:pPr>
        <w:pStyle w:val="Point0"/>
        <w:rPr>
          <w:noProof/>
        </w:rPr>
      </w:pPr>
      <w:r>
        <w:t>(d)</w:t>
      </w:r>
      <w:r>
        <w:tab/>
      </w:r>
      <w:r>
        <w:rPr>
          <w:noProof/>
        </w:rPr>
        <w:t xml:space="preserve">Following termination of the </w:t>
      </w:r>
      <w:r>
        <w:rPr>
          <w:noProof/>
          <w:szCs w:val="24"/>
        </w:rPr>
        <w:t>contract</w:t>
      </w:r>
      <w:r>
        <w:rPr>
          <w:noProof/>
        </w:rPr>
        <w:t xml:space="preserve">, the processor shall, </w:t>
      </w:r>
      <w:r>
        <w:rPr>
          <w:noProof/>
          <w:szCs w:val="24"/>
        </w:rPr>
        <w:t xml:space="preserve">at the choice of the controller, </w:t>
      </w:r>
      <w:r>
        <w:rPr>
          <w:noProof/>
        </w:rPr>
        <w:t xml:space="preserve">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pPr>
        <w:rPr>
          <w:noProof/>
        </w:rPr>
      </w:pPr>
    </w:p>
    <w:p>
      <w:pPr>
        <w:rPr>
          <w:b/>
          <w:noProof/>
          <w:u w:val="single"/>
        </w:rPr>
      </w:pPr>
      <w:r>
        <w:rPr>
          <w:b/>
          <w:noProof/>
          <w:u w:val="single"/>
        </w:rPr>
        <w:br w:type="page"/>
      </w:r>
    </w:p>
    <w:p>
      <w:pPr>
        <w:rPr>
          <w:b/>
          <w:noProof/>
          <w:u w:val="single"/>
        </w:rPr>
      </w:pPr>
      <w:r>
        <w:rPr>
          <w:b/>
          <w:noProof/>
          <w:u w:val="single"/>
        </w:rPr>
        <w:t>ANNEX I LIST OF PARTIES</w:t>
      </w:r>
    </w:p>
    <w:p>
      <w:pPr>
        <w:rPr>
          <w:noProof/>
          <w:szCs w:val="24"/>
        </w:rPr>
      </w:pPr>
    </w:p>
    <w:p>
      <w:pPr>
        <w:rPr>
          <w:i/>
          <w:noProof/>
          <w:szCs w:val="24"/>
        </w:rPr>
      </w:pPr>
      <w:r>
        <w:rPr>
          <w:b/>
          <w:noProof/>
          <w:szCs w:val="24"/>
        </w:rPr>
        <w:t xml:space="preserve">Controller(s): </w:t>
      </w:r>
      <w:r>
        <w:rPr>
          <w:noProof/>
          <w:szCs w:val="24"/>
        </w:rPr>
        <w:t>[</w:t>
      </w:r>
      <w:r>
        <w:rPr>
          <w:i/>
          <w:noProof/>
          <w:szCs w:val="24"/>
        </w:rPr>
        <w:t xml:space="preserve">Identity and contact details of the controller(s), and, where applicable, </w:t>
      </w:r>
      <w:r>
        <w:rPr>
          <w:i/>
          <w:noProof/>
        </w:rPr>
        <w:t>of the controller’s data protection officer</w:t>
      </w:r>
      <w:r>
        <w:rPr>
          <w:i/>
          <w:noProof/>
          <w:szCs w:val="24"/>
        </w:rPr>
        <w:t>]</w:t>
      </w:r>
    </w:p>
    <w:p>
      <w:pPr>
        <w:rPr>
          <w:b/>
          <w:noProof/>
          <w:szCs w:val="24"/>
        </w:rPr>
      </w:pPr>
    </w:p>
    <w:p>
      <w:pPr>
        <w:rPr>
          <w:noProof/>
          <w:szCs w:val="24"/>
        </w:rPr>
      </w:pPr>
      <w:r>
        <w:rPr>
          <w:noProof/>
          <w:szCs w:val="24"/>
        </w:rPr>
        <w:t>1. Name: …</w:t>
      </w:r>
    </w:p>
    <w:p>
      <w:pPr>
        <w:rPr>
          <w:noProof/>
          <w:szCs w:val="24"/>
        </w:rPr>
      </w:pPr>
      <w:r>
        <w:rPr>
          <w:noProof/>
          <w:szCs w:val="24"/>
        </w:rPr>
        <w:t>Address: …</w:t>
      </w:r>
    </w:p>
    <w:p>
      <w:pPr>
        <w:rPr>
          <w:noProof/>
          <w:szCs w:val="24"/>
        </w:rPr>
      </w:pPr>
      <w:r>
        <w:rPr>
          <w:noProof/>
          <w:szCs w:val="24"/>
        </w:rPr>
        <w:t>Contact person’s name, position and contact details: …</w:t>
      </w:r>
    </w:p>
    <w:p>
      <w:pPr>
        <w:rPr>
          <w:noProof/>
          <w:szCs w:val="24"/>
        </w:rPr>
      </w:pPr>
      <w:r>
        <w:rPr>
          <w:noProof/>
          <w:szCs w:val="24"/>
        </w:rPr>
        <w:t>Signature and accession date: …</w:t>
      </w:r>
    </w:p>
    <w:p>
      <w:pPr>
        <w:rPr>
          <w:noProof/>
          <w:szCs w:val="24"/>
        </w:rPr>
      </w:pPr>
    </w:p>
    <w:p>
      <w:pPr>
        <w:rPr>
          <w:noProof/>
          <w:szCs w:val="24"/>
        </w:rPr>
      </w:pPr>
      <w:r>
        <w:rPr>
          <w:noProof/>
          <w:szCs w:val="24"/>
        </w:rPr>
        <w:t>2.</w:t>
      </w:r>
    </w:p>
    <w:p>
      <w:pPr>
        <w:rPr>
          <w:noProof/>
          <w:szCs w:val="24"/>
        </w:rPr>
      </w:pPr>
      <w:r>
        <w:rPr>
          <w:noProof/>
          <w:szCs w:val="24"/>
        </w:rPr>
        <w:t>…</w:t>
      </w:r>
    </w:p>
    <w:p>
      <w:pPr>
        <w:rPr>
          <w:noProof/>
          <w:szCs w:val="24"/>
        </w:rPr>
      </w:pPr>
    </w:p>
    <w:p>
      <w:pPr>
        <w:rPr>
          <w:i/>
          <w:noProof/>
          <w:szCs w:val="24"/>
        </w:rPr>
      </w:pPr>
      <w:r>
        <w:rPr>
          <w:b/>
          <w:noProof/>
          <w:szCs w:val="24"/>
        </w:rPr>
        <w:t xml:space="preserve">Processor(s): </w:t>
      </w:r>
      <w:r>
        <w:rPr>
          <w:noProof/>
          <w:szCs w:val="24"/>
        </w:rPr>
        <w:t>[</w:t>
      </w:r>
      <w:r>
        <w:rPr>
          <w:i/>
          <w:noProof/>
          <w:szCs w:val="24"/>
        </w:rPr>
        <w:t>Identity and contact details of the processor(s) and, where applicable, of the processor’s data protection officer]</w:t>
      </w:r>
    </w:p>
    <w:p>
      <w:pPr>
        <w:rPr>
          <w:noProof/>
          <w:szCs w:val="24"/>
        </w:rPr>
      </w:pPr>
      <w:r>
        <w:rPr>
          <w:noProof/>
          <w:szCs w:val="24"/>
        </w:rPr>
        <w:t>1. Name: …</w:t>
      </w:r>
    </w:p>
    <w:p>
      <w:pPr>
        <w:rPr>
          <w:noProof/>
          <w:szCs w:val="24"/>
        </w:rPr>
      </w:pPr>
      <w:r>
        <w:rPr>
          <w:noProof/>
          <w:szCs w:val="24"/>
        </w:rPr>
        <w:t>Address: …</w:t>
      </w:r>
    </w:p>
    <w:p>
      <w:pPr>
        <w:rPr>
          <w:noProof/>
          <w:szCs w:val="24"/>
        </w:rPr>
      </w:pPr>
      <w:r>
        <w:rPr>
          <w:noProof/>
          <w:szCs w:val="24"/>
        </w:rPr>
        <w:t>Contact person’s name, position and contact details: …</w:t>
      </w:r>
    </w:p>
    <w:p>
      <w:pPr>
        <w:rPr>
          <w:noProof/>
          <w:szCs w:val="24"/>
        </w:rPr>
      </w:pPr>
      <w:r>
        <w:rPr>
          <w:noProof/>
          <w:szCs w:val="24"/>
        </w:rPr>
        <w:t>Signature and accession date: …</w:t>
      </w:r>
    </w:p>
    <w:p>
      <w:pPr>
        <w:rPr>
          <w:noProof/>
          <w:szCs w:val="24"/>
        </w:rPr>
      </w:pPr>
    </w:p>
    <w:p>
      <w:pPr>
        <w:rPr>
          <w:noProof/>
          <w:szCs w:val="24"/>
        </w:rPr>
      </w:pPr>
      <w:r>
        <w:rPr>
          <w:noProof/>
          <w:szCs w:val="24"/>
        </w:rPr>
        <w:t>2.</w:t>
      </w:r>
    </w:p>
    <w:p>
      <w:pPr>
        <w:rPr>
          <w:b/>
          <w:noProof/>
          <w:szCs w:val="24"/>
          <w:u w:val="single"/>
        </w:rPr>
      </w:pPr>
      <w:r>
        <w:rPr>
          <w:noProof/>
          <w:szCs w:val="24"/>
        </w:rPr>
        <w:t>…</w:t>
      </w:r>
    </w:p>
    <w:p>
      <w:pPr>
        <w:rPr>
          <w:b/>
          <w:noProof/>
          <w:szCs w:val="24"/>
          <w:u w:val="single"/>
        </w:rPr>
      </w:pPr>
    </w:p>
    <w:p>
      <w:pPr>
        <w:rPr>
          <w:b/>
          <w:noProof/>
          <w:szCs w:val="24"/>
          <w:u w:val="single"/>
        </w:rPr>
      </w:pPr>
      <w:r>
        <w:rPr>
          <w:b/>
          <w:noProof/>
          <w:szCs w:val="24"/>
          <w:u w:val="single"/>
        </w:rPr>
        <w:br w:type="page"/>
      </w:r>
    </w:p>
    <w:p>
      <w:pPr>
        <w:rPr>
          <w:b/>
          <w:noProof/>
          <w:szCs w:val="24"/>
          <w:u w:val="single"/>
        </w:rPr>
      </w:pPr>
      <w:r>
        <w:rPr>
          <w:b/>
          <w:noProof/>
          <w:szCs w:val="24"/>
          <w:u w:val="single"/>
        </w:rPr>
        <w:t>ANNEX II: DESCRIPTION OF THE PROCESSING</w:t>
      </w:r>
    </w:p>
    <w:p>
      <w:pPr>
        <w:pStyle w:val="ListParagraph"/>
        <w:jc w:val="both"/>
        <w:rPr>
          <w:rFonts w:ascii="Times New Roman" w:hAnsi="Times New Roman" w:cs="Times New Roman"/>
          <w:b/>
          <w:noProof/>
          <w:sz w:val="24"/>
          <w:szCs w:val="24"/>
          <w:u w:val="single"/>
        </w:rPr>
      </w:pPr>
    </w:p>
    <w:p>
      <w:pPr>
        <w:rPr>
          <w:i/>
          <w:noProof/>
          <w:szCs w:val="24"/>
        </w:rPr>
      </w:pPr>
      <w:r>
        <w:rPr>
          <w:i/>
          <w:noProof/>
          <w:szCs w:val="24"/>
        </w:rPr>
        <w:t>Categories of data subjects whose personal data is processed</w:t>
      </w:r>
    </w:p>
    <w:p>
      <w:pPr>
        <w:rPr>
          <w:i/>
          <w:noProof/>
          <w:szCs w:val="24"/>
        </w:rPr>
      </w:pPr>
      <w:r>
        <w:rPr>
          <w:i/>
          <w:noProof/>
          <w:szCs w:val="24"/>
        </w:rPr>
        <w:t>………………………..</w:t>
      </w:r>
    </w:p>
    <w:p>
      <w:pPr>
        <w:rPr>
          <w:i/>
          <w:noProof/>
          <w:szCs w:val="24"/>
        </w:rPr>
      </w:pPr>
      <w:r>
        <w:rPr>
          <w:i/>
          <w:noProof/>
          <w:szCs w:val="24"/>
        </w:rPr>
        <w:t>Categories of personal data processed</w:t>
      </w:r>
    </w:p>
    <w:p>
      <w:pPr>
        <w:rPr>
          <w:i/>
          <w:noProof/>
          <w:szCs w:val="24"/>
        </w:rPr>
      </w:pPr>
      <w:r>
        <w:rPr>
          <w:i/>
          <w:noProof/>
          <w:szCs w:val="24"/>
        </w:rPr>
        <w:t>………………………..</w:t>
      </w:r>
    </w:p>
    <w:p>
      <w:pPr>
        <w:rPr>
          <w:i/>
          <w:noProof/>
        </w:rPr>
      </w:pPr>
      <w:r>
        <w:rPr>
          <w:i/>
          <w:noProof/>
          <w:szCs w:val="24"/>
        </w:rPr>
        <w:t xml:space="preserve">Sensitive data processed (if applicable) </w:t>
      </w:r>
      <w:r>
        <w:rPr>
          <w:i/>
          <w:noProof/>
        </w:rPr>
        <w:t>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p>
      <w:pPr>
        <w:rPr>
          <w:i/>
          <w:noProof/>
          <w:szCs w:val="24"/>
        </w:rPr>
      </w:pPr>
      <w:r>
        <w:rPr>
          <w:i/>
          <w:noProof/>
          <w:szCs w:val="24"/>
        </w:rPr>
        <w:t>………………………..</w:t>
      </w:r>
    </w:p>
    <w:p>
      <w:pPr>
        <w:rPr>
          <w:i/>
          <w:noProof/>
          <w:szCs w:val="24"/>
        </w:rPr>
      </w:pPr>
      <w:r>
        <w:rPr>
          <w:i/>
          <w:noProof/>
          <w:szCs w:val="24"/>
        </w:rPr>
        <w:t>Nature of the processing</w:t>
      </w:r>
    </w:p>
    <w:p>
      <w:pPr>
        <w:rPr>
          <w:i/>
          <w:noProof/>
          <w:szCs w:val="24"/>
        </w:rPr>
      </w:pPr>
      <w:r>
        <w:rPr>
          <w:i/>
          <w:noProof/>
          <w:szCs w:val="24"/>
        </w:rPr>
        <w:t>………………………..</w:t>
      </w:r>
    </w:p>
    <w:p>
      <w:pPr>
        <w:rPr>
          <w:i/>
          <w:noProof/>
          <w:szCs w:val="24"/>
        </w:rPr>
      </w:pPr>
      <w:r>
        <w:rPr>
          <w:i/>
          <w:noProof/>
          <w:szCs w:val="24"/>
        </w:rPr>
        <w:t>Purpose(s) for which the personal data is processed on behalf of the controller</w:t>
      </w:r>
    </w:p>
    <w:p>
      <w:pPr>
        <w:rPr>
          <w:i/>
          <w:noProof/>
          <w:szCs w:val="24"/>
        </w:rPr>
      </w:pPr>
      <w:r>
        <w:rPr>
          <w:i/>
          <w:noProof/>
          <w:szCs w:val="24"/>
        </w:rPr>
        <w:t>………………………..</w:t>
      </w:r>
    </w:p>
    <w:p>
      <w:pPr>
        <w:rPr>
          <w:i/>
          <w:noProof/>
          <w:szCs w:val="24"/>
        </w:rPr>
      </w:pPr>
      <w:r>
        <w:rPr>
          <w:i/>
          <w:noProof/>
          <w:szCs w:val="24"/>
        </w:rPr>
        <w:t>Duration of the processing</w:t>
      </w:r>
    </w:p>
    <w:p>
      <w:pPr>
        <w:rPr>
          <w:i/>
          <w:noProof/>
          <w:szCs w:val="24"/>
        </w:rPr>
      </w:pPr>
      <w:r>
        <w:rPr>
          <w:i/>
          <w:noProof/>
          <w:szCs w:val="24"/>
        </w:rPr>
        <w:t>………………………..</w:t>
      </w:r>
    </w:p>
    <w:p>
      <w:pPr>
        <w:rPr>
          <w:i/>
          <w:noProof/>
          <w:szCs w:val="24"/>
        </w:rPr>
      </w:pPr>
    </w:p>
    <w:p>
      <w:pPr>
        <w:rPr>
          <w:i/>
          <w:noProof/>
          <w:szCs w:val="24"/>
        </w:rPr>
      </w:pPr>
      <w:r>
        <w:rPr>
          <w:i/>
          <w:noProof/>
          <w:szCs w:val="24"/>
        </w:rPr>
        <w:t>…………………………</w:t>
      </w:r>
    </w:p>
    <w:p>
      <w:pPr>
        <w:rPr>
          <w:i/>
          <w:noProof/>
        </w:rPr>
      </w:pPr>
      <w:r>
        <w:rPr>
          <w:i/>
          <w:noProof/>
        </w:rPr>
        <w:t>For processing by (sub-) processors, also specify subject matter, nature and duration of the processing</w:t>
      </w:r>
    </w:p>
    <w:p>
      <w:pPr>
        <w:rPr>
          <w:b/>
          <w:noProof/>
          <w:szCs w:val="24"/>
          <w:u w:val="single"/>
        </w:rPr>
      </w:pPr>
      <w:r>
        <w:rPr>
          <w:b/>
          <w:noProof/>
          <w:szCs w:val="24"/>
          <w:u w:val="single"/>
        </w:rPr>
        <w:br w:type="page"/>
      </w:r>
    </w:p>
    <w:p>
      <w:pPr>
        <w:rPr>
          <w:b/>
          <w:noProof/>
          <w:szCs w:val="24"/>
          <w:u w:val="single"/>
        </w:rPr>
      </w:pPr>
      <w:r>
        <w:rPr>
          <w:b/>
          <w:noProof/>
          <w:szCs w:val="24"/>
          <w:u w:val="single"/>
        </w:rPr>
        <w:t>ANNEX III TECHNICAL AND ORGANISATIONAL MEASURES INCLUDING TECHNICAL AND ORGANISATIONAL MEASURES TO ENSURE THE SECURITY OF THE DATA</w:t>
      </w:r>
    </w:p>
    <w:p>
      <w:pPr>
        <w:rPr>
          <w:noProof/>
        </w:rPr>
      </w:pPr>
      <w:r>
        <w:rPr>
          <w:noProof/>
        </w:rPr>
        <w:t xml:space="preserve">EXPLANATORY NOTE: </w:t>
      </w:r>
    </w:p>
    <w:p>
      <w:pPr>
        <w:rPr>
          <w:b/>
          <w:noProof/>
          <w:szCs w:val="24"/>
          <w:u w:val="single"/>
        </w:rPr>
      </w:pPr>
      <w:r>
        <w:rPr>
          <w:noProof/>
        </w:rPr>
        <w:t>The technical and organisational measures need to be described concretely and not in a generic manner.</w:t>
      </w:r>
    </w:p>
    <w:p>
      <w:pPr>
        <w:rPr>
          <w:i/>
          <w:noProof/>
          <w:szCs w:val="24"/>
        </w:rPr>
      </w:pPr>
    </w:p>
    <w:p>
      <w:pPr>
        <w:contextualSpacing/>
        <w:rPr>
          <w:i/>
          <w:noProof/>
          <w:szCs w:val="24"/>
        </w:rPr>
      </w:pPr>
      <w:r>
        <w:rPr>
          <w:i/>
          <w:noProof/>
          <w:szCs w:val="24"/>
        </w:rPr>
        <w:t xml:space="preserve">Description of the technical and organisational security measures implemented by the processor(s) </w:t>
      </w:r>
      <w:r>
        <w:rPr>
          <w:i/>
          <w:noProof/>
        </w:rPr>
        <w:t>(including any relevant certifications) to ensure an appropriate level of security, taking into account the nature, scope, context and purpose of the processing, as well as the risks for the rights and freedoms of natural persons.</w:t>
      </w:r>
      <w:r>
        <w:rPr>
          <w:i/>
          <w:noProof/>
          <w:szCs w:val="24"/>
        </w:rPr>
        <w:t xml:space="preserve"> Examples of possible measures:</w:t>
      </w:r>
    </w:p>
    <w:p>
      <w:pPr>
        <w:contextualSpacing/>
        <w:rPr>
          <w:i/>
          <w:noProof/>
          <w:szCs w:val="24"/>
        </w:rPr>
      </w:pPr>
    </w:p>
    <w:p>
      <w:pPr>
        <w:ind w:firstLine="720"/>
        <w:contextualSpacing/>
        <w:rPr>
          <w:i/>
          <w:noProof/>
          <w:szCs w:val="24"/>
          <w:u w:val="single"/>
        </w:rPr>
      </w:pPr>
      <w:r>
        <w:rPr>
          <w:i/>
          <w:noProof/>
          <w:szCs w:val="24"/>
        </w:rPr>
        <w:t>Measures of pseudonymisation and encryption of personal data</w:t>
      </w:r>
    </w:p>
    <w:p>
      <w:pPr>
        <w:contextualSpacing/>
        <w:rPr>
          <w:i/>
          <w:noProof/>
          <w:szCs w:val="24"/>
        </w:rPr>
      </w:pPr>
    </w:p>
    <w:p>
      <w:pPr>
        <w:ind w:left="720"/>
        <w:contextualSpacing/>
        <w:rPr>
          <w:i/>
          <w:noProof/>
          <w:szCs w:val="24"/>
        </w:rPr>
      </w:pPr>
      <w:r>
        <w:rPr>
          <w:i/>
          <w:noProof/>
          <w:szCs w:val="24"/>
        </w:rPr>
        <w:t>Measures for ensuring ongoing confidentiality, integrity, availability and resilience of processing systems and services</w:t>
      </w:r>
    </w:p>
    <w:p>
      <w:pPr>
        <w:contextualSpacing/>
        <w:rPr>
          <w:i/>
          <w:noProof/>
          <w:szCs w:val="24"/>
        </w:rPr>
      </w:pPr>
    </w:p>
    <w:p>
      <w:pPr>
        <w:ind w:left="720"/>
        <w:contextualSpacing/>
        <w:rPr>
          <w:i/>
          <w:noProof/>
          <w:szCs w:val="24"/>
        </w:rPr>
      </w:pPr>
      <w:r>
        <w:rPr>
          <w:i/>
          <w:noProof/>
          <w:szCs w:val="24"/>
        </w:rPr>
        <w:t>Measures for ensuring the ability to restore the availability and access to personal data in a timely manner in the event of a physical or technical incident</w:t>
      </w:r>
    </w:p>
    <w:p>
      <w:pPr>
        <w:contextualSpacing/>
        <w:rPr>
          <w:i/>
          <w:noProof/>
          <w:szCs w:val="24"/>
        </w:rPr>
      </w:pPr>
    </w:p>
    <w:p>
      <w:pPr>
        <w:ind w:left="720"/>
        <w:contextualSpacing/>
        <w:rPr>
          <w:i/>
          <w:noProof/>
          <w:szCs w:val="24"/>
        </w:rPr>
      </w:pPr>
      <w:r>
        <w:rPr>
          <w:i/>
          <w:noProof/>
          <w:szCs w:val="24"/>
        </w:rPr>
        <w:t>Processes for regularly testing, assessing and evaluating the effectiveness of technical and organisational measures in order to ensure the security of the processing</w:t>
      </w:r>
    </w:p>
    <w:p>
      <w:pPr>
        <w:contextualSpacing/>
        <w:rPr>
          <w:i/>
          <w:noProof/>
          <w:szCs w:val="24"/>
        </w:rPr>
      </w:pPr>
    </w:p>
    <w:p>
      <w:pPr>
        <w:ind w:firstLine="720"/>
        <w:contextualSpacing/>
        <w:rPr>
          <w:i/>
          <w:noProof/>
          <w:szCs w:val="24"/>
        </w:rPr>
      </w:pPr>
      <w:r>
        <w:rPr>
          <w:i/>
          <w:noProof/>
          <w:szCs w:val="24"/>
        </w:rPr>
        <w:t>Measures for user identification and authorisation</w:t>
      </w:r>
    </w:p>
    <w:p>
      <w:pPr>
        <w:contextualSpacing/>
        <w:rPr>
          <w:i/>
          <w:noProof/>
          <w:szCs w:val="24"/>
        </w:rPr>
      </w:pPr>
    </w:p>
    <w:p>
      <w:pPr>
        <w:contextualSpacing/>
        <w:rPr>
          <w:i/>
          <w:noProof/>
          <w:szCs w:val="24"/>
        </w:rPr>
      </w:pPr>
      <w:r>
        <w:rPr>
          <w:i/>
          <w:noProof/>
          <w:szCs w:val="24"/>
        </w:rPr>
        <w:tab/>
        <w:t>Measures for the protection of data during transmission</w:t>
      </w:r>
    </w:p>
    <w:p>
      <w:pPr>
        <w:contextualSpacing/>
        <w:rPr>
          <w:i/>
          <w:noProof/>
          <w:szCs w:val="24"/>
        </w:rPr>
      </w:pPr>
    </w:p>
    <w:p>
      <w:pPr>
        <w:ind w:firstLine="720"/>
        <w:contextualSpacing/>
        <w:rPr>
          <w:i/>
          <w:noProof/>
          <w:szCs w:val="24"/>
        </w:rPr>
      </w:pPr>
      <w:r>
        <w:rPr>
          <w:i/>
          <w:noProof/>
          <w:szCs w:val="24"/>
        </w:rPr>
        <w:t>Measures for the protection of data during storage</w:t>
      </w:r>
    </w:p>
    <w:p>
      <w:pPr>
        <w:contextualSpacing/>
        <w:rPr>
          <w:i/>
          <w:noProof/>
          <w:szCs w:val="24"/>
        </w:rPr>
      </w:pPr>
    </w:p>
    <w:p>
      <w:pPr>
        <w:ind w:left="720"/>
        <w:contextualSpacing/>
        <w:rPr>
          <w:i/>
          <w:noProof/>
          <w:szCs w:val="24"/>
        </w:rPr>
      </w:pPr>
      <w:r>
        <w:rPr>
          <w:i/>
          <w:noProof/>
          <w:szCs w:val="24"/>
        </w:rPr>
        <w:t>Measures for ensuring physical security of locations at which personal data are processed</w:t>
      </w:r>
    </w:p>
    <w:p>
      <w:pPr>
        <w:contextualSpacing/>
        <w:rPr>
          <w:i/>
          <w:noProof/>
          <w:szCs w:val="24"/>
        </w:rPr>
      </w:pPr>
    </w:p>
    <w:p>
      <w:pPr>
        <w:ind w:firstLine="720"/>
        <w:contextualSpacing/>
        <w:rPr>
          <w:i/>
          <w:noProof/>
          <w:szCs w:val="24"/>
        </w:rPr>
      </w:pPr>
      <w:r>
        <w:rPr>
          <w:i/>
          <w:noProof/>
          <w:szCs w:val="24"/>
        </w:rPr>
        <w:t>Measures for ensuring events logging</w:t>
      </w:r>
    </w:p>
    <w:p>
      <w:pPr>
        <w:contextualSpacing/>
        <w:rPr>
          <w:i/>
          <w:noProof/>
          <w:szCs w:val="24"/>
        </w:rPr>
      </w:pPr>
    </w:p>
    <w:p>
      <w:pPr>
        <w:ind w:firstLine="720"/>
        <w:contextualSpacing/>
        <w:rPr>
          <w:i/>
          <w:noProof/>
          <w:szCs w:val="24"/>
        </w:rPr>
      </w:pPr>
      <w:r>
        <w:rPr>
          <w:i/>
          <w:noProof/>
          <w:szCs w:val="24"/>
        </w:rPr>
        <w:t>Measures for ensuring system configuration, including default configuration</w:t>
      </w:r>
    </w:p>
    <w:p>
      <w:pPr>
        <w:contextualSpacing/>
        <w:rPr>
          <w:i/>
          <w:noProof/>
          <w:szCs w:val="24"/>
        </w:rPr>
      </w:pPr>
    </w:p>
    <w:p>
      <w:pPr>
        <w:ind w:firstLine="720"/>
        <w:contextualSpacing/>
        <w:rPr>
          <w:i/>
          <w:noProof/>
          <w:szCs w:val="24"/>
        </w:rPr>
      </w:pPr>
      <w:r>
        <w:rPr>
          <w:i/>
          <w:noProof/>
          <w:szCs w:val="24"/>
        </w:rPr>
        <w:t>Measures for internal IT and IT security governance and management</w:t>
      </w:r>
    </w:p>
    <w:p>
      <w:pPr>
        <w:contextualSpacing/>
        <w:rPr>
          <w:i/>
          <w:noProof/>
          <w:szCs w:val="24"/>
        </w:rPr>
      </w:pPr>
    </w:p>
    <w:p>
      <w:pPr>
        <w:ind w:firstLine="720"/>
        <w:contextualSpacing/>
        <w:rPr>
          <w:i/>
          <w:noProof/>
          <w:szCs w:val="24"/>
        </w:rPr>
      </w:pPr>
      <w:r>
        <w:rPr>
          <w:i/>
          <w:noProof/>
          <w:szCs w:val="24"/>
        </w:rPr>
        <w:t>Measures for certification/assurance of processes and products</w:t>
      </w:r>
    </w:p>
    <w:p>
      <w:pPr>
        <w:contextualSpacing/>
        <w:rPr>
          <w:i/>
          <w:noProof/>
          <w:szCs w:val="24"/>
        </w:rPr>
      </w:pPr>
    </w:p>
    <w:p>
      <w:pPr>
        <w:ind w:firstLine="720"/>
        <w:contextualSpacing/>
        <w:rPr>
          <w:i/>
          <w:noProof/>
          <w:szCs w:val="24"/>
        </w:rPr>
      </w:pPr>
      <w:r>
        <w:rPr>
          <w:i/>
          <w:noProof/>
          <w:szCs w:val="24"/>
        </w:rPr>
        <w:t>Measures for ensuring data minimisation</w:t>
      </w:r>
    </w:p>
    <w:p>
      <w:pPr>
        <w:contextualSpacing/>
        <w:rPr>
          <w:i/>
          <w:noProof/>
          <w:szCs w:val="24"/>
        </w:rPr>
      </w:pPr>
    </w:p>
    <w:p>
      <w:pPr>
        <w:ind w:firstLine="720"/>
        <w:contextualSpacing/>
        <w:rPr>
          <w:i/>
          <w:noProof/>
          <w:szCs w:val="24"/>
        </w:rPr>
      </w:pPr>
      <w:r>
        <w:rPr>
          <w:i/>
          <w:noProof/>
          <w:szCs w:val="24"/>
        </w:rPr>
        <w:t>Measures for ensuring data quality</w:t>
      </w:r>
    </w:p>
    <w:p>
      <w:pPr>
        <w:contextualSpacing/>
        <w:rPr>
          <w:i/>
          <w:noProof/>
          <w:szCs w:val="24"/>
        </w:rPr>
      </w:pPr>
    </w:p>
    <w:p>
      <w:pPr>
        <w:ind w:firstLine="720"/>
        <w:contextualSpacing/>
        <w:rPr>
          <w:i/>
          <w:noProof/>
          <w:szCs w:val="24"/>
        </w:rPr>
      </w:pPr>
      <w:r>
        <w:rPr>
          <w:i/>
          <w:noProof/>
          <w:szCs w:val="24"/>
        </w:rPr>
        <w:t>Measures for ensuring limited data retention</w:t>
      </w:r>
    </w:p>
    <w:p>
      <w:pPr>
        <w:contextualSpacing/>
        <w:rPr>
          <w:i/>
          <w:noProof/>
          <w:szCs w:val="24"/>
        </w:rPr>
      </w:pPr>
    </w:p>
    <w:p>
      <w:pPr>
        <w:ind w:firstLine="720"/>
        <w:contextualSpacing/>
        <w:rPr>
          <w:i/>
          <w:noProof/>
          <w:szCs w:val="24"/>
        </w:rPr>
      </w:pPr>
      <w:r>
        <w:rPr>
          <w:i/>
          <w:noProof/>
          <w:szCs w:val="24"/>
        </w:rPr>
        <w:t>Measures for ensuring accountability</w:t>
      </w:r>
    </w:p>
    <w:p>
      <w:pPr>
        <w:contextualSpacing/>
        <w:rPr>
          <w:i/>
          <w:noProof/>
          <w:szCs w:val="24"/>
        </w:rPr>
      </w:pPr>
    </w:p>
    <w:p>
      <w:pPr>
        <w:ind w:firstLine="720"/>
        <w:contextualSpacing/>
        <w:rPr>
          <w:i/>
          <w:noProof/>
        </w:rPr>
      </w:pPr>
      <w:r>
        <w:rPr>
          <w:i/>
          <w:noProof/>
          <w:szCs w:val="24"/>
        </w:rPr>
        <w:t>Measures for allowing data portability and ensuring erasure]</w:t>
      </w:r>
    </w:p>
    <w:p>
      <w:pPr>
        <w:spacing w:after="240"/>
        <w:rPr>
          <w:b/>
          <w:noProof/>
          <w:highlight w:val="lightGray"/>
        </w:rPr>
      </w:pPr>
    </w:p>
    <w:p>
      <w:pPr>
        <w:spacing w:after="240"/>
        <w:rPr>
          <w:noProof/>
        </w:rPr>
      </w:pPr>
      <w:r>
        <w:rPr>
          <w:i/>
          <w:noProof/>
        </w:rPr>
        <w:t>For transfers to (sub-) processors, also</w:t>
      </w:r>
      <w:r>
        <w:rPr>
          <w:noProof/>
        </w:rPr>
        <w:t xml:space="preserve"> </w:t>
      </w:r>
      <w:r>
        <w:rPr>
          <w:i/>
          <w:noProof/>
        </w:rPr>
        <w:t>describe the specific technical and organisational measures to be taken by the (sub-) processor to be able to provide assistance to the controller</w:t>
      </w:r>
    </w:p>
    <w:p>
      <w:pPr>
        <w:rPr>
          <w:i/>
          <w:noProof/>
          <w:szCs w:val="24"/>
        </w:rPr>
      </w:pPr>
      <w:r>
        <w:rPr>
          <w:i/>
          <w:noProof/>
          <w:szCs w:val="24"/>
        </w:rPr>
        <w:t xml:space="preserve">Description of the specific technical and organisational measures to be taken by the processor to be able to provide assistance to the controller. </w:t>
      </w:r>
      <w:r>
        <w:rPr>
          <w:i/>
          <w:noProof/>
          <w:szCs w:val="24"/>
        </w:rPr>
        <w:br w:type="page"/>
      </w:r>
    </w:p>
    <w:p>
      <w:pPr>
        <w:rPr>
          <w:b/>
          <w:noProof/>
          <w:szCs w:val="24"/>
          <w:u w:val="single"/>
        </w:rPr>
      </w:pPr>
      <w:r>
        <w:rPr>
          <w:b/>
          <w:noProof/>
          <w:szCs w:val="24"/>
          <w:u w:val="single"/>
        </w:rPr>
        <w:t>ANNEX IV: LIST OF SUB-PROCESSORS</w:t>
      </w:r>
    </w:p>
    <w:p>
      <w:pPr>
        <w:rPr>
          <w:noProof/>
        </w:rPr>
      </w:pPr>
      <w:r>
        <w:rPr>
          <w:noProof/>
        </w:rPr>
        <w:t xml:space="preserve">EXPLANATORY NOTE: </w:t>
      </w:r>
    </w:p>
    <w:p>
      <w:pPr>
        <w:rPr>
          <w:noProof/>
        </w:rPr>
      </w:pPr>
      <w:r>
        <w:rPr>
          <w:noProof/>
        </w:rPr>
        <w:t xml:space="preserve">This Annex needs to be completed in case of specific authorisation of sub-processors (Clause 7.7(a), Option 1). </w:t>
      </w:r>
    </w:p>
    <w:p>
      <w:pPr>
        <w:rPr>
          <w:noProof/>
        </w:rPr>
      </w:pPr>
      <w:r>
        <w:rPr>
          <w:noProof/>
        </w:rPr>
        <w:t xml:space="preserve">The controller has authorised the use of the following sub-processors: </w:t>
      </w:r>
    </w:p>
    <w:p>
      <w:pPr>
        <w:rPr>
          <w:noProof/>
        </w:rPr>
      </w:pPr>
      <w:r>
        <w:rPr>
          <w:noProof/>
        </w:rPr>
        <w:t>1. Name: …</w:t>
      </w:r>
    </w:p>
    <w:p>
      <w:pPr>
        <w:rPr>
          <w:noProof/>
        </w:rPr>
      </w:pPr>
      <w:r>
        <w:rPr>
          <w:noProof/>
        </w:rPr>
        <w:t>Address: …</w:t>
      </w:r>
    </w:p>
    <w:p>
      <w:pPr>
        <w:rPr>
          <w:noProof/>
        </w:rPr>
      </w:pPr>
      <w:r>
        <w:rPr>
          <w:noProof/>
        </w:rPr>
        <w:t>Contact person’s name, position and contact details: …</w:t>
      </w:r>
    </w:p>
    <w:p>
      <w:pPr>
        <w:rPr>
          <w:noProof/>
        </w:rPr>
      </w:pPr>
      <w:r>
        <w:rPr>
          <w:noProof/>
        </w:rPr>
        <w:t>Description of the processing (including a clear delimitation of responsibilities in case several sub-processors are authorised): …</w:t>
      </w:r>
    </w:p>
    <w:p>
      <w:pPr>
        <w:rPr>
          <w:noProof/>
        </w:rPr>
      </w:pPr>
    </w:p>
    <w:p>
      <w:pPr>
        <w:rPr>
          <w:noProof/>
        </w:rPr>
      </w:pPr>
      <w:r>
        <w:rPr>
          <w:noProof/>
        </w:rPr>
        <w:t>2. …</w:t>
      </w:r>
    </w:p>
    <w:p>
      <w:pPr>
        <w:rPr>
          <w:b/>
          <w:noProof/>
          <w:szCs w:val="24"/>
          <w:u w:val="single"/>
        </w:rPr>
      </w:pPr>
    </w:p>
    <w:p>
      <w:pPr>
        <w:rPr>
          <w:b/>
          <w:noProof/>
          <w:szCs w:val="24"/>
          <w:u w:val="single"/>
        </w:rPr>
      </w:pPr>
    </w:p>
    <w:p>
      <w:pPr>
        <w:rPr>
          <w:b/>
          <w:noProof/>
          <w:szCs w:val="24"/>
          <w:u w:val="single"/>
        </w:rPr>
      </w:pPr>
    </w:p>
    <w:p>
      <w:pPr>
        <w:pStyle w:val="ListParagraph"/>
        <w:jc w:val="both"/>
        <w:rPr>
          <w:rFonts w:ascii="Times New Roman" w:hAnsi="Times New Roman" w:cs="Times New Roman"/>
          <w:b/>
          <w:noProof/>
          <w:sz w:val="24"/>
          <w:szCs w:val="24"/>
          <w:u w:val="single"/>
        </w:rPr>
      </w:pPr>
    </w:p>
    <w:p>
      <w:pPr>
        <w:rPr>
          <w:noProof/>
          <w:szCs w:val="24"/>
        </w:rPr>
      </w:pPr>
    </w:p>
    <w:sectPr>
      <w:footerReference w:type="default" r:id="rId16"/>
      <w:footerReference w:type="first" r:id="rId17"/>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DACA2B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524DD3E"/>
    <w:lvl w:ilvl="0">
      <w:start w:val="1"/>
      <w:numFmt w:val="decimal"/>
      <w:pStyle w:val="ListNumber3"/>
      <w:lvlText w:val="%1."/>
      <w:lvlJc w:val="left"/>
      <w:pPr>
        <w:tabs>
          <w:tab w:val="num" w:pos="926"/>
        </w:tabs>
        <w:ind w:left="926" w:hanging="360"/>
      </w:pPr>
    </w:lvl>
  </w:abstractNum>
  <w:abstractNum w:abstractNumId="2">
    <w:nsid w:val="FFFFFF7F"/>
    <w:multiLevelType w:val="singleLevel"/>
    <w:tmpl w:val="89D66782"/>
    <w:lvl w:ilvl="0">
      <w:start w:val="1"/>
      <w:numFmt w:val="decimal"/>
      <w:pStyle w:val="ListNumber2"/>
      <w:lvlText w:val="%1."/>
      <w:lvlJc w:val="left"/>
      <w:pPr>
        <w:tabs>
          <w:tab w:val="num" w:pos="643"/>
        </w:tabs>
        <w:ind w:left="643" w:hanging="360"/>
      </w:pPr>
    </w:lvl>
  </w:abstractNum>
  <w:abstractNum w:abstractNumId="3">
    <w:nsid w:val="FFFFFF81"/>
    <w:multiLevelType w:val="singleLevel"/>
    <w:tmpl w:val="BBFAE1B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27EDA3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3AD689B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3C8062A"/>
    <w:lvl w:ilvl="0">
      <w:start w:val="1"/>
      <w:numFmt w:val="decimal"/>
      <w:pStyle w:val="ListNumber"/>
      <w:lvlText w:val="%1."/>
      <w:lvlJc w:val="left"/>
      <w:pPr>
        <w:tabs>
          <w:tab w:val="num" w:pos="360"/>
        </w:tabs>
        <w:ind w:left="360" w:hanging="360"/>
      </w:pPr>
    </w:lvl>
  </w:abstractNum>
  <w:abstractNum w:abstractNumId="7">
    <w:nsid w:val="FFFFFF89"/>
    <w:multiLevelType w:val="singleLevel"/>
    <w:tmpl w:val="E8E65D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7"/>
  </w:num>
  <w:num w:numId="3">
    <w:abstractNumId w:val="5"/>
  </w:num>
  <w:num w:numId="4">
    <w:abstractNumId w:val="4"/>
  </w:num>
  <w:num w:numId="5">
    <w:abstractNumId w:val="3"/>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
  </w:num>
  <w:num w:numId="19">
    <w:abstractNumId w:val="0"/>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20"/>
  </w:num>
  <w:num w:numId="25">
    <w:abstractNumId w:val="13"/>
  </w:num>
  <w:num w:numId="26">
    <w:abstractNumId w:val="22"/>
  </w:num>
  <w:num w:numId="27">
    <w:abstractNumId w:val="11"/>
  </w:num>
  <w:num w:numId="28">
    <w:abstractNumId w:val="14"/>
  </w:num>
  <w:num w:numId="29">
    <w:abstractNumId w:val="15"/>
  </w:num>
  <w:num w:numId="30">
    <w:abstractNumId w:val="9"/>
  </w:num>
  <w:num w:numId="31">
    <w:abstractNumId w:val="21"/>
  </w:num>
  <w:num w:numId="32">
    <w:abstractNumId w:val="8"/>
  </w:num>
  <w:num w:numId="33">
    <w:abstractNumId w:val="16"/>
  </w:num>
  <w:num w:numId="34">
    <w:abstractNumId w:val="18"/>
  </w:num>
  <w:num w:numId="35">
    <w:abstractNumId w:val="19"/>
  </w:num>
  <w:num w:numId="36">
    <w:abstractNumId w:val="10"/>
  </w:num>
  <w:num w:numId="37">
    <w:abstractNumId w:val="17"/>
  </w:num>
  <w:num w:numId="38">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isplayBackgroundShap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ttachedTemplate r:id="rId1"/>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6-04 09:49:15"/>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24"/>
    <w:docVar w:name="DQCResult_ModifiedMarkers" w:val="0;0"/>
    <w:docVar w:name="DQCResult_ModifiedNumbering" w:val="0;0"/>
    <w:docVar w:name="DQCResult_Objects" w:val="0;0"/>
    <w:docVar w:name="DQCResult_Sections" w:val="0;0"/>
    <w:docVar w:name="DQCResult_StructureCheck" w:val="0;0"/>
    <w:docVar w:name="DQCResult_SuperfluousWhitespace" w:val="0;54"/>
    <w:docVar w:name="DQCResult_UnknownFonts" w:val="0;0"/>
    <w:docVar w:name="DQCResult_UnknownStyles" w:val="0;4"/>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083036D9-A118-4844-B7A8-C37344CC3C85"/>
    <w:docVar w:name="LW_COVERPAGE_TYPE" w:val="1"/>
    <w:docVar w:name="LW_CROSSREFERENCE" w:val="&lt;UNUSED&gt;"/>
    <w:docVar w:name="LW_DocType" w:val="ANNEX"/>
    <w:docVar w:name="LW_EMISSION" w:val="4.6.2021"/>
    <w:docVar w:name="LW_EMISSION_ISODATE" w:val="2021-06-04"/>
    <w:docVar w:name="LW_EMISSION_LOCATION" w:val="BRX"/>
    <w:docVar w:name="LW_EMISSION_PREFIX" w:val="Brussels, "/>
    <w:docVar w:name="LW_EMISSION_SUFFIX" w:val=" "/>
    <w:docVar w:name="LW_ID_DOCSTRUCTURE" w:val="COM/ANNEX"/>
    <w:docVar w:name="LW_ID_DOCTYPE" w:val="SG-068"/>
    <w:docVar w:name="LW_LANGUE" w:val="EN"/>
    <w:docVar w:name="LW_LEVEL_OF_SENSITIVITY" w:val="Standard treatment"/>
    <w:docVar w:name="LW_NOM.INST" w:val="EUROPEAN COMMISSION"/>
    <w:docVar w:name="LW_NOM.INST_JOINTDOC" w:val="&lt;EMPTY&gt;"/>
    <w:docVar w:name="LW_OBJETACTEPRINCIPAL" w:val="&lt;FMT:Bold&gt;on standard contractual clauses between controllers and processors under Article 28 (7) of Regulation (EU) 2016/679 of the European Parliament and of the Council and Article 29 (7) of Regulation (EU) 2018/1725 of the European Parliament and of the Council&lt;/FMT&gt;"/>
    <w:docVar w:name="LW_OBJETACTEPRINCIPAL.CP" w:val="&lt;FMT:Bold&gt;on standard contractual clauses between controllers and processors under Article 28 (7) of Regulation (EU) 2016/679 of the European Parliament and of the Council and Article 29 (7) of Regulation (EU) 2018/1725 of the European Parliament and of the Council&lt;/FMT&gt;"/>
    <w:docVar w:name="LW_PART_NBR" w:val="1"/>
    <w:docVar w:name="LW_PART_NBR_TOTAL" w:val="1"/>
    <w:docVar w:name="LW_REF.INST.NEW" w:val="C"/>
    <w:docVar w:name="LW_REF.INST.NEW_ADOPTED" w:val="final"/>
    <w:docVar w:name="LW_REF.INST.NEW_TEXT" w:val="(2021) 37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COMMISSION IMPLEMENTING DECISION"/>
    <w:docVar w:name="LW_TYPEACTEPRINCIPAL.CP" w:val="COMMISSION IMPLEMENTING DECISION"/>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sz w:val="22"/>
    </w:rPr>
  </w:style>
  <w:style w:type="paragraph" w:styleId="ListNumber3">
    <w:name w:val="List Number 3"/>
    <w:basedOn w:val="Normal"/>
    <w:uiPriority w:val="99"/>
    <w:semiHidden/>
    <w:unhideWhenUsed/>
    <w:pPr>
      <w:numPr>
        <w:numId w:val="1"/>
      </w:numPr>
      <w:contextualSpacing/>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7"/>
      </w:numPr>
      <w:contextualSpacing/>
    </w:pPr>
  </w:style>
  <w:style w:type="paragraph" w:styleId="ListNumber2">
    <w:name w:val="List Number 2"/>
    <w:basedOn w:val="Normal"/>
    <w:uiPriority w:val="99"/>
    <w:semiHidden/>
    <w:unhideWhenUsed/>
    <w:pPr>
      <w:numPr>
        <w:numId w:val="18"/>
      </w:numPr>
      <w:contextualSpacing/>
    </w:pPr>
  </w:style>
  <w:style w:type="paragraph" w:styleId="ListNumber4">
    <w:name w:val="List Number 4"/>
    <w:basedOn w:val="Normal"/>
    <w:uiPriority w:val="99"/>
    <w:semiHidden/>
    <w:unhideWhenUsed/>
    <w:pPr>
      <w:numPr>
        <w:numId w:val="19"/>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LegalNumPar">
    <w:name w:val="LegalNumPar"/>
    <w:basedOn w:val="Normal"/>
    <w:pPr>
      <w:numPr>
        <w:numId w:val="23"/>
      </w:numPr>
      <w:spacing w:line="360" w:lineRule="auto"/>
    </w:pPr>
  </w:style>
  <w:style w:type="paragraph" w:customStyle="1" w:styleId="LegalNumPar2">
    <w:name w:val="LegalNumPar2"/>
    <w:basedOn w:val="Normal"/>
    <w:pPr>
      <w:numPr>
        <w:ilvl w:val="1"/>
        <w:numId w:val="23"/>
      </w:numPr>
      <w:spacing w:line="360" w:lineRule="auto"/>
    </w:pPr>
  </w:style>
  <w:style w:type="paragraph" w:customStyle="1" w:styleId="LegalNumPar3">
    <w:name w:val="LegalNumPar3"/>
    <w:basedOn w:val="Normal"/>
    <w:pPr>
      <w:numPr>
        <w:ilvl w:val="2"/>
        <w:numId w:val="23"/>
      </w:numPr>
      <w:spacing w:line="360" w:lineRule="auto"/>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sz w:val="22"/>
    </w:rPr>
  </w:style>
  <w:style w:type="paragraph" w:styleId="ListNumber3">
    <w:name w:val="List Number 3"/>
    <w:basedOn w:val="Normal"/>
    <w:uiPriority w:val="99"/>
    <w:semiHidden/>
    <w:unhideWhenUsed/>
    <w:pPr>
      <w:numPr>
        <w:numId w:val="1"/>
      </w:numPr>
      <w:contextualSpacing/>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7"/>
      </w:numPr>
      <w:contextualSpacing/>
    </w:pPr>
  </w:style>
  <w:style w:type="paragraph" w:styleId="ListNumber2">
    <w:name w:val="List Number 2"/>
    <w:basedOn w:val="Normal"/>
    <w:uiPriority w:val="99"/>
    <w:semiHidden/>
    <w:unhideWhenUsed/>
    <w:pPr>
      <w:numPr>
        <w:numId w:val="18"/>
      </w:numPr>
      <w:contextualSpacing/>
    </w:pPr>
  </w:style>
  <w:style w:type="paragraph" w:styleId="ListNumber4">
    <w:name w:val="List Number 4"/>
    <w:basedOn w:val="Normal"/>
    <w:uiPriority w:val="99"/>
    <w:semiHidden/>
    <w:unhideWhenUsed/>
    <w:pPr>
      <w:numPr>
        <w:numId w:val="19"/>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LegalNumPar">
    <w:name w:val="LegalNumPar"/>
    <w:basedOn w:val="Normal"/>
    <w:pPr>
      <w:numPr>
        <w:numId w:val="23"/>
      </w:numPr>
      <w:spacing w:line="360" w:lineRule="auto"/>
    </w:pPr>
  </w:style>
  <w:style w:type="paragraph" w:customStyle="1" w:styleId="LegalNumPar2">
    <w:name w:val="LegalNumPar2"/>
    <w:basedOn w:val="Normal"/>
    <w:pPr>
      <w:numPr>
        <w:ilvl w:val="1"/>
        <w:numId w:val="23"/>
      </w:numPr>
      <w:spacing w:line="360" w:lineRule="auto"/>
    </w:pPr>
  </w:style>
  <w:style w:type="paragraph" w:customStyle="1" w:styleId="LegalNumPar3">
    <w:name w:val="LegalNumPar3"/>
    <w:basedOn w:val="Normal"/>
    <w:pPr>
      <w:numPr>
        <w:ilvl w:val="2"/>
        <w:numId w:val="23"/>
      </w:numPr>
      <w:spacing w:line="360" w:lineRule="auto"/>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22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1B925-1D76-4456-BCE6-B6EE1E84A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14</Pages>
  <Words>3582</Words>
  <Characters>19705</Characters>
  <Application>Microsoft Office Word</Application>
  <DocSecurity>0</DocSecurity>
  <Lines>419</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2021-05-18T18:37:00Z</dcterms:created>
  <dcterms:modified xsi:type="dcterms:W3CDTF">2021-06-04T07:49:00Z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First annex">
    <vt:lpwstr>1</vt:lpwstr>
  </property>
  <property fmtid="{D5CDD505-2E9C-101B-9397-08002B2CF9AE}" pid="5" name="Last annex">
    <vt:lpwstr>1</vt:lpwstr>
  </property>
  <property fmtid="{D5CDD505-2E9C-101B-9397-08002B2CF9AE}" pid="6" name="Unique annex">
    <vt:lpwstr>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SG-068</vt:lpwstr>
  </property>
  <property fmtid="{D5CDD505-2E9C-101B-9397-08002B2CF9AE}" pid="10" name="DQCStatus">
    <vt:lpwstr>Green (DQC version 03)</vt:lpwstr>
  </property>
  <property fmtid="{D5CDD505-2E9C-101B-9397-08002B2CF9AE}" pid="11" name="Category">
    <vt:lpwstr>COM/ANNEX</vt:lpwstr>
  </property>
</Properties>
</file>